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873B6">
      <w:pPr>
        <w:widowControl/>
        <w:adjustRightInd w:val="0"/>
        <w:snapToGrid w:val="0"/>
        <w:spacing w:line="360" w:lineRule="auto"/>
        <w:jc w:val="left"/>
        <w:rPr>
          <w:rFonts w:ascii="宋体" w:hAnsi="宋体" w:eastAsia="宋体" w:cs="宋体"/>
          <w:b/>
          <w:bCs/>
          <w:color w:val="000000" w:themeColor="text1"/>
          <w:sz w:val="28"/>
          <w:szCs w:val="28"/>
          <w14:textFill>
            <w14:solidFill>
              <w14:schemeClr w14:val="tx1"/>
            </w14:solidFill>
          </w14:textFill>
        </w:rPr>
      </w:pPr>
    </w:p>
    <w:p w14:paraId="4ECEBA48">
      <w:pPr>
        <w:widowControl/>
        <w:adjustRightInd w:val="0"/>
        <w:snapToGrid w:val="0"/>
        <w:spacing w:line="360" w:lineRule="auto"/>
        <w:jc w:val="left"/>
        <w:rPr>
          <w:rFonts w:ascii="宋体" w:hAnsi="宋体" w:eastAsia="宋体" w:cs="宋体"/>
          <w:b/>
          <w:bCs/>
          <w:color w:val="000000" w:themeColor="text1"/>
          <w:sz w:val="44"/>
          <w:szCs w:val="44"/>
          <w14:textFill>
            <w14:solidFill>
              <w14:schemeClr w14:val="tx1"/>
            </w14:solidFill>
          </w14:textFill>
        </w:rPr>
      </w:pPr>
    </w:p>
    <w:p w14:paraId="41EA667D">
      <w:pPr>
        <w:widowControl/>
        <w:adjustRightInd w:val="0"/>
        <w:snapToGrid w:val="0"/>
        <w:ind w:firstLine="560"/>
        <w:jc w:val="center"/>
        <w:rPr>
          <w:rFonts w:ascii="宋体" w:hAnsi="宋体" w:eastAsia="宋体" w:cs="宋体"/>
          <w:b/>
          <w:bCs/>
          <w:color w:val="000000" w:themeColor="text1"/>
          <w:sz w:val="28"/>
          <w14:textFill>
            <w14:solidFill>
              <w14:schemeClr w14:val="tx1"/>
            </w14:solidFill>
          </w14:textFill>
        </w:rPr>
      </w:pPr>
    </w:p>
    <w:p w14:paraId="1536D723">
      <w:pPr>
        <w:widowControl/>
        <w:tabs>
          <w:tab w:val="left" w:pos="6840"/>
        </w:tabs>
        <w:adjustRightInd w:val="0"/>
        <w:snapToGrid w:val="0"/>
        <w:spacing w:line="360" w:lineRule="auto"/>
        <w:jc w:val="center"/>
        <w:rPr>
          <w:rFonts w:hint="default"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高州</w:t>
      </w:r>
      <w:r>
        <w:rPr>
          <w:rFonts w:hint="eastAsia" w:ascii="宋体" w:hAnsi="宋体" w:eastAsia="宋体" w:cs="宋体"/>
          <w:b/>
          <w:bCs/>
          <w:color w:val="000000" w:themeColor="text1"/>
          <w:sz w:val="44"/>
          <w:szCs w:val="44"/>
          <w14:textFill>
            <w14:solidFill>
              <w14:schemeClr w14:val="tx1"/>
            </w14:solidFill>
          </w14:textFill>
        </w:rPr>
        <w:t>项目：</w:t>
      </w:r>
      <w:r>
        <w:rPr>
          <w:rFonts w:hint="eastAsia" w:ascii="宋体" w:hAnsi="宋体" w:eastAsia="宋体" w:cs="宋体"/>
          <w:b/>
          <w:bCs/>
          <w:color w:val="000000" w:themeColor="text1"/>
          <w:sz w:val="44"/>
          <w:szCs w:val="44"/>
          <w:lang w:val="en-US" w:eastAsia="zh-CN"/>
          <w14:textFill>
            <w14:solidFill>
              <w14:schemeClr w14:val="tx1"/>
            </w14:solidFill>
          </w14:textFill>
        </w:rPr>
        <w:t>高州市绿能环保发电厂</w:t>
      </w:r>
    </w:p>
    <w:p w14:paraId="66DA1CBC">
      <w:pPr>
        <w:pStyle w:val="42"/>
        <w:keepNext w:val="0"/>
        <w:keepLines w:val="0"/>
        <w:widowControl/>
        <w:suppressLineNumbers w:val="0"/>
      </w:pPr>
      <w:r>
        <w:rPr>
          <w:rFonts w:hint="eastAsia" w:ascii="宋体" w:hAnsi="宋体" w:eastAsia="宋体" w:cs="宋体"/>
          <w:b/>
          <w:bCs/>
          <w:color w:val="000000" w:themeColor="text1"/>
          <w:sz w:val="44"/>
          <w:szCs w:val="44"/>
          <w14:textFill>
            <w14:solidFill>
              <w14:schemeClr w14:val="tx1"/>
            </w14:solidFill>
          </w14:textFill>
        </w:rPr>
        <w:t xml:space="preserve">招标编号:ITB-LK-GZFD-YY-fw-2025-057 </w:t>
      </w:r>
    </w:p>
    <w:p w14:paraId="69E09E47">
      <w:pPr>
        <w:widowControl/>
        <w:tabs>
          <w:tab w:val="left" w:pos="6840"/>
        </w:tabs>
        <w:adjustRightInd w:val="0"/>
        <w:snapToGrid w:val="0"/>
        <w:spacing w:line="360" w:lineRule="auto"/>
        <w:jc w:val="both"/>
        <w:rPr>
          <w:rFonts w:ascii="宋体" w:hAnsi="宋体" w:eastAsia="宋体" w:cs="宋体"/>
          <w:b/>
          <w:bCs/>
          <w:color w:val="000000" w:themeColor="text1"/>
          <w:sz w:val="44"/>
          <w:szCs w:val="44"/>
          <w14:textFill>
            <w14:solidFill>
              <w14:schemeClr w14:val="tx1"/>
            </w14:solidFill>
          </w14:textFill>
        </w:rPr>
      </w:pPr>
    </w:p>
    <w:p w14:paraId="5D0C2F2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70609A9B">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2025年-2026年金坑飞灰填埋场运营管理及飞灰转运、填埋服务</w:t>
      </w:r>
      <w:bookmarkStart w:id="425" w:name="_GoBack"/>
      <w:bookmarkEnd w:id="425"/>
    </w:p>
    <w:p w14:paraId="2DEC392F">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12DF885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09C03615">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0653DBB1">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57D53ECC">
      <w:pPr>
        <w:jc w:val="center"/>
        <w:rPr>
          <w:rFonts w:ascii="宋体" w:hAnsi="宋体" w:eastAsia="宋体" w:cs="宋体"/>
          <w:b/>
          <w:bCs/>
          <w:color w:val="000000" w:themeColor="text1"/>
          <w:sz w:val="28"/>
          <w:szCs w:val="28"/>
          <w14:textFill>
            <w14:solidFill>
              <w14:schemeClr w14:val="tx1"/>
            </w14:solidFill>
          </w14:textFill>
        </w:rPr>
      </w:pPr>
    </w:p>
    <w:p w14:paraId="338A6DB5">
      <w:pPr>
        <w:widowControl/>
        <w:adjustRightInd w:val="0"/>
        <w:snapToGrid w:val="0"/>
        <w:spacing w:line="360" w:lineRule="auto"/>
        <w:jc w:val="cente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招标人：</w:t>
      </w:r>
      <w:r>
        <w:rPr>
          <w:rFonts w:hint="eastAsia" w:ascii="宋体" w:hAnsi="宋体" w:eastAsia="宋体" w:cs="宋体"/>
          <w:b/>
          <w:bCs/>
          <w:color w:val="000000" w:themeColor="text1"/>
          <w:sz w:val="30"/>
          <w:szCs w:val="30"/>
          <w:lang w:val="en-US" w:eastAsia="zh-CN"/>
          <w14:textFill>
            <w14:solidFill>
              <w14:schemeClr w14:val="tx1"/>
            </w14:solidFill>
          </w14:textFill>
        </w:rPr>
        <w:t>朗坤环保能源（茂名）有限公司</w:t>
      </w:r>
    </w:p>
    <w:p w14:paraId="34F061D9">
      <w:pPr>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202</w:t>
      </w:r>
      <w:r>
        <w:rPr>
          <w:rFonts w:hint="eastAsia" w:ascii="宋体" w:hAnsi="宋体" w:eastAsia="宋体" w:cs="宋体"/>
          <w:b/>
          <w:bCs/>
          <w:color w:val="000000" w:themeColor="text1"/>
          <w:sz w:val="30"/>
          <w:szCs w:val="30"/>
          <w:lang w:val="en-US" w:eastAsia="zh-CN"/>
          <w14:textFill>
            <w14:solidFill>
              <w14:schemeClr w14:val="tx1"/>
            </w14:solidFill>
          </w14:textFill>
        </w:rPr>
        <w:t>5</w:t>
      </w:r>
      <w:r>
        <w:rPr>
          <w:rFonts w:hint="eastAsia" w:ascii="宋体" w:hAnsi="宋体" w:eastAsia="宋体" w:cs="宋体"/>
          <w:b/>
          <w:bCs/>
          <w:color w:val="000000" w:themeColor="text1"/>
          <w:sz w:val="30"/>
          <w:szCs w:val="30"/>
          <w14:textFill>
            <w14:solidFill>
              <w14:schemeClr w14:val="tx1"/>
            </w14:solidFill>
          </w14:textFill>
        </w:rPr>
        <w:t>年0</w:t>
      </w:r>
      <w:r>
        <w:rPr>
          <w:rFonts w:hint="eastAsia" w:ascii="宋体" w:hAnsi="宋体" w:eastAsia="宋体" w:cs="宋体"/>
          <w:b/>
          <w:bCs/>
          <w:color w:val="000000" w:themeColor="text1"/>
          <w:sz w:val="30"/>
          <w:szCs w:val="30"/>
          <w:lang w:val="en-US" w:eastAsia="zh-CN"/>
          <w14:textFill>
            <w14:solidFill>
              <w14:schemeClr w14:val="tx1"/>
            </w14:solidFill>
          </w14:textFill>
        </w:rPr>
        <w:t>6</w:t>
      </w:r>
      <w:r>
        <w:rPr>
          <w:rFonts w:hint="eastAsia" w:ascii="宋体" w:hAnsi="宋体" w:eastAsia="宋体" w:cs="宋体"/>
          <w:b/>
          <w:bCs/>
          <w:color w:val="000000" w:themeColor="text1"/>
          <w:sz w:val="30"/>
          <w:szCs w:val="30"/>
          <w14:textFill>
            <w14:solidFill>
              <w14:schemeClr w14:val="tx1"/>
            </w14:solidFill>
          </w14:textFill>
        </w:rPr>
        <w:t>月</w:t>
      </w:r>
    </w:p>
    <w:p w14:paraId="471E4748">
      <w:pPr>
        <w:spacing w:line="300" w:lineRule="auto"/>
        <w:rPr>
          <w:rFonts w:ascii="宋体" w:hAnsi="宋体" w:eastAsia="宋体" w:cs="宋体"/>
          <w:b/>
          <w:bCs/>
          <w:color w:val="000000" w:themeColor="text1"/>
          <w:sz w:val="28"/>
          <w:szCs w:val="28"/>
          <w14:textFill>
            <w14:solidFill>
              <w14:schemeClr w14:val="tx1"/>
            </w14:solidFill>
          </w14:textFill>
        </w:rPr>
        <w:sectPr>
          <w:footerReference r:id="rId5" w:type="first"/>
          <w:headerReference r:id="rId3" w:type="default"/>
          <w:footerReference r:id="rId4" w:type="default"/>
          <w:pgSz w:w="11907" w:h="16839"/>
          <w:pgMar w:top="1440" w:right="1080" w:bottom="1440" w:left="1080" w:header="340" w:footer="340" w:gutter="0"/>
          <w:cols w:space="720" w:num="1"/>
          <w:docGrid w:linePitch="312" w:charSpace="0"/>
        </w:sectPr>
      </w:pPr>
    </w:p>
    <w:p w14:paraId="5C874609">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目录</w:t>
      </w:r>
    </w:p>
    <w:p w14:paraId="2B9AB53C">
      <w:pPr>
        <w:pStyle w:val="33"/>
        <w:tabs>
          <w:tab w:val="right" w:leader="dot" w:pos="9185"/>
        </w:tabs>
      </w:pP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TOC \o "1-3" \h \z \u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fldChar w:fldCharType="begin"/>
      </w:r>
      <w:r>
        <w:instrText xml:space="preserve"> HYPERLINK \l "_Toc29820" </w:instrText>
      </w:r>
      <w:r>
        <w:fldChar w:fldCharType="separate"/>
      </w:r>
      <w:r>
        <w:rPr>
          <w:rFonts w:ascii="宋体" w:hAnsi="宋体" w:eastAsia="宋体" w:cs="宋体"/>
          <w:szCs w:val="32"/>
        </w:rPr>
        <w:t xml:space="preserve">第一章 </w:t>
      </w:r>
      <w:r>
        <w:rPr>
          <w:rFonts w:hint="eastAsia" w:ascii="宋体" w:hAnsi="宋体" w:eastAsia="宋体" w:cs="宋体"/>
          <w:szCs w:val="32"/>
        </w:rPr>
        <w:t>投标邀请函</w:t>
      </w:r>
      <w:r>
        <w:tab/>
      </w:r>
      <w:r>
        <w:fldChar w:fldCharType="begin"/>
      </w:r>
      <w:r>
        <w:instrText xml:space="preserve"> PAGEREF _Toc29820 \h </w:instrText>
      </w:r>
      <w:r>
        <w:fldChar w:fldCharType="separate"/>
      </w:r>
      <w:r>
        <w:t>1</w:t>
      </w:r>
      <w:r>
        <w:fldChar w:fldCharType="end"/>
      </w:r>
      <w:r>
        <w:fldChar w:fldCharType="end"/>
      </w:r>
    </w:p>
    <w:p w14:paraId="59881BD2">
      <w:pPr>
        <w:pStyle w:val="33"/>
        <w:tabs>
          <w:tab w:val="right" w:leader="dot" w:pos="9185"/>
        </w:tabs>
      </w:pPr>
      <w:r>
        <w:fldChar w:fldCharType="begin"/>
      </w:r>
      <w:r>
        <w:instrText xml:space="preserve"> HYPERLINK \l "_Toc4645" </w:instrText>
      </w:r>
      <w:r>
        <w:fldChar w:fldCharType="separate"/>
      </w:r>
      <w:r>
        <w:rPr>
          <w:rFonts w:hint="eastAsia" w:ascii="宋体" w:hAnsi="宋体" w:eastAsia="宋体" w:cs="宋体"/>
          <w:szCs w:val="24"/>
        </w:rPr>
        <w:t>1.招标条件</w:t>
      </w:r>
      <w:r>
        <w:tab/>
      </w:r>
      <w:r>
        <w:fldChar w:fldCharType="begin"/>
      </w:r>
      <w:r>
        <w:instrText xml:space="preserve"> PAGEREF _Toc4645 \h </w:instrText>
      </w:r>
      <w:r>
        <w:fldChar w:fldCharType="separate"/>
      </w:r>
      <w:r>
        <w:t>1</w:t>
      </w:r>
      <w:r>
        <w:fldChar w:fldCharType="end"/>
      </w:r>
      <w:r>
        <w:fldChar w:fldCharType="end"/>
      </w:r>
    </w:p>
    <w:p w14:paraId="2B26611B">
      <w:pPr>
        <w:pStyle w:val="33"/>
        <w:tabs>
          <w:tab w:val="right" w:leader="dot" w:pos="9185"/>
        </w:tabs>
      </w:pPr>
      <w:r>
        <w:fldChar w:fldCharType="begin"/>
      </w:r>
      <w:r>
        <w:instrText xml:space="preserve"> HYPERLINK \l "_Toc12355" </w:instrText>
      </w:r>
      <w:r>
        <w:fldChar w:fldCharType="separate"/>
      </w:r>
      <w:r>
        <w:rPr>
          <w:rFonts w:hint="eastAsia" w:ascii="宋体" w:hAnsi="宋体" w:eastAsia="宋体" w:cs="宋体"/>
          <w:szCs w:val="24"/>
        </w:rPr>
        <w:t>2.项目概况与招标范围</w:t>
      </w:r>
      <w:r>
        <w:tab/>
      </w:r>
      <w:r>
        <w:fldChar w:fldCharType="begin"/>
      </w:r>
      <w:r>
        <w:instrText xml:space="preserve"> PAGEREF _Toc12355 \h </w:instrText>
      </w:r>
      <w:r>
        <w:fldChar w:fldCharType="separate"/>
      </w:r>
      <w:r>
        <w:t>1</w:t>
      </w:r>
      <w:r>
        <w:fldChar w:fldCharType="end"/>
      </w:r>
      <w:r>
        <w:fldChar w:fldCharType="end"/>
      </w:r>
    </w:p>
    <w:p w14:paraId="3CF89F9B">
      <w:pPr>
        <w:pStyle w:val="33"/>
        <w:tabs>
          <w:tab w:val="right" w:leader="dot" w:pos="9185"/>
        </w:tabs>
      </w:pPr>
      <w:r>
        <w:fldChar w:fldCharType="begin"/>
      </w:r>
      <w:r>
        <w:instrText xml:space="preserve"> HYPERLINK \l "_Toc16651" </w:instrText>
      </w:r>
      <w:r>
        <w:fldChar w:fldCharType="separate"/>
      </w:r>
      <w:r>
        <w:rPr>
          <w:rFonts w:hint="eastAsia" w:ascii="宋体" w:hAnsi="宋体" w:eastAsia="宋体" w:cs="宋体"/>
          <w:szCs w:val="24"/>
        </w:rPr>
        <w:t>3.资金来源</w:t>
      </w:r>
      <w:r>
        <w:tab/>
      </w:r>
      <w:r>
        <w:fldChar w:fldCharType="begin"/>
      </w:r>
      <w:r>
        <w:instrText xml:space="preserve"> PAGEREF _Toc16651 \h </w:instrText>
      </w:r>
      <w:r>
        <w:fldChar w:fldCharType="separate"/>
      </w:r>
      <w:r>
        <w:t>2</w:t>
      </w:r>
      <w:r>
        <w:fldChar w:fldCharType="end"/>
      </w:r>
      <w:r>
        <w:fldChar w:fldCharType="end"/>
      </w:r>
    </w:p>
    <w:p w14:paraId="7BFB69B4">
      <w:pPr>
        <w:pStyle w:val="33"/>
        <w:tabs>
          <w:tab w:val="right" w:leader="dot" w:pos="9185"/>
        </w:tabs>
      </w:pPr>
      <w:r>
        <w:fldChar w:fldCharType="begin"/>
      </w:r>
      <w:r>
        <w:instrText xml:space="preserve"> HYPERLINK \l "_Toc7160" </w:instrText>
      </w:r>
      <w:r>
        <w:fldChar w:fldCharType="separate"/>
      </w:r>
      <w:r>
        <w:rPr>
          <w:rFonts w:hint="eastAsia" w:ascii="宋体" w:hAnsi="宋体" w:eastAsia="宋体" w:cs="宋体"/>
          <w:szCs w:val="24"/>
        </w:rPr>
        <w:t xml:space="preserve">4. </w:t>
      </w:r>
      <w:r>
        <w:rPr>
          <w:rFonts w:hint="eastAsia" w:ascii="宋体" w:hAnsi="宋体" w:eastAsia="宋体" w:cs="宋体"/>
          <w:szCs w:val="24"/>
          <w:lang w:val="en-US" w:eastAsia="zh-CN"/>
        </w:rPr>
        <w:t>合同期</w:t>
      </w:r>
      <w:r>
        <w:rPr>
          <w:rFonts w:hint="eastAsia" w:ascii="宋体" w:hAnsi="宋体" w:eastAsia="宋体" w:cs="宋体"/>
          <w:szCs w:val="24"/>
        </w:rPr>
        <w:t>期</w:t>
      </w:r>
      <w:r>
        <w:tab/>
      </w:r>
      <w:r>
        <w:fldChar w:fldCharType="begin"/>
      </w:r>
      <w:r>
        <w:instrText xml:space="preserve"> PAGEREF _Toc7160 \h </w:instrText>
      </w:r>
      <w:r>
        <w:fldChar w:fldCharType="separate"/>
      </w:r>
      <w:r>
        <w:t>2</w:t>
      </w:r>
      <w:r>
        <w:fldChar w:fldCharType="end"/>
      </w:r>
      <w:r>
        <w:fldChar w:fldCharType="end"/>
      </w:r>
    </w:p>
    <w:p w14:paraId="5552E91D">
      <w:pPr>
        <w:pStyle w:val="33"/>
        <w:tabs>
          <w:tab w:val="right" w:leader="dot" w:pos="9185"/>
        </w:tabs>
      </w:pPr>
      <w:r>
        <w:fldChar w:fldCharType="begin"/>
      </w:r>
      <w:r>
        <w:instrText xml:space="preserve"> HYPERLINK \l "_Toc9479" </w:instrText>
      </w:r>
      <w:r>
        <w:fldChar w:fldCharType="separate"/>
      </w:r>
      <w:r>
        <w:rPr>
          <w:rFonts w:hint="eastAsia" w:ascii="宋体" w:hAnsi="宋体" w:eastAsia="宋体" w:cs="宋体"/>
          <w:szCs w:val="24"/>
          <w:lang w:val="en-US" w:eastAsia="zh-CN"/>
        </w:rPr>
        <w:t>5</w:t>
      </w:r>
      <w:r>
        <w:rPr>
          <w:rFonts w:hint="eastAsia" w:ascii="宋体" w:hAnsi="宋体" w:eastAsia="宋体" w:cs="宋体"/>
          <w:szCs w:val="24"/>
        </w:rPr>
        <w:t>.投标人资格要求</w:t>
      </w:r>
      <w:r>
        <w:tab/>
      </w:r>
      <w:r>
        <w:fldChar w:fldCharType="begin"/>
      </w:r>
      <w:r>
        <w:instrText xml:space="preserve"> PAGEREF _Toc9479 \h </w:instrText>
      </w:r>
      <w:r>
        <w:fldChar w:fldCharType="separate"/>
      </w:r>
      <w:r>
        <w:t>2</w:t>
      </w:r>
      <w:r>
        <w:fldChar w:fldCharType="end"/>
      </w:r>
      <w:r>
        <w:fldChar w:fldCharType="end"/>
      </w:r>
    </w:p>
    <w:p w14:paraId="21A36EF8">
      <w:pPr>
        <w:pStyle w:val="33"/>
        <w:tabs>
          <w:tab w:val="right" w:leader="dot" w:pos="9185"/>
        </w:tabs>
      </w:pPr>
      <w:r>
        <w:fldChar w:fldCharType="begin"/>
      </w:r>
      <w:r>
        <w:instrText xml:space="preserve"> HYPERLINK \l "_Toc4107" </w:instrText>
      </w:r>
      <w:r>
        <w:fldChar w:fldCharType="separate"/>
      </w:r>
      <w:r>
        <w:rPr>
          <w:rFonts w:hint="eastAsia" w:ascii="宋体" w:hAnsi="宋体" w:eastAsia="宋体" w:cs="宋体"/>
          <w:szCs w:val="24"/>
          <w:lang w:val="en-US" w:eastAsia="zh-CN"/>
        </w:rPr>
        <w:t>6</w:t>
      </w:r>
      <w:r>
        <w:rPr>
          <w:rFonts w:hint="eastAsia" w:ascii="宋体" w:hAnsi="宋体" w:eastAsia="宋体" w:cs="宋体"/>
          <w:szCs w:val="24"/>
        </w:rPr>
        <w:t>.招标文件出售时间</w:t>
      </w:r>
      <w:r>
        <w:tab/>
      </w:r>
      <w:r>
        <w:rPr>
          <w:rFonts w:hint="eastAsia"/>
          <w:lang w:val="en-US" w:eastAsia="zh-CN"/>
        </w:rPr>
        <w:t>3</w:t>
      </w:r>
      <w:r>
        <w:fldChar w:fldCharType="end"/>
      </w:r>
    </w:p>
    <w:p w14:paraId="6BC39018">
      <w:pPr>
        <w:pStyle w:val="33"/>
        <w:tabs>
          <w:tab w:val="right" w:leader="dot" w:pos="9185"/>
        </w:tabs>
      </w:pPr>
      <w:r>
        <w:fldChar w:fldCharType="begin"/>
      </w:r>
      <w:r>
        <w:instrText xml:space="preserve"> HYPERLINK \l "_Toc6230" </w:instrText>
      </w:r>
      <w:r>
        <w:fldChar w:fldCharType="separate"/>
      </w:r>
      <w:r>
        <w:rPr>
          <w:rFonts w:hint="eastAsia" w:ascii="宋体" w:hAnsi="宋体" w:eastAsia="宋体" w:cs="宋体"/>
          <w:szCs w:val="24"/>
          <w:lang w:val="en-US" w:eastAsia="zh-CN"/>
        </w:rPr>
        <w:t>7</w:t>
      </w:r>
      <w:r>
        <w:rPr>
          <w:rFonts w:hint="eastAsia" w:ascii="宋体" w:hAnsi="宋体" w:eastAsia="宋体" w:cs="宋体"/>
          <w:szCs w:val="24"/>
        </w:rPr>
        <w:t>.获取招标文件的时间及地点</w:t>
      </w:r>
      <w:r>
        <w:tab/>
      </w:r>
      <w:r>
        <w:rPr>
          <w:rFonts w:hint="eastAsia"/>
          <w:lang w:val="en-US" w:eastAsia="zh-CN"/>
        </w:rPr>
        <w:t>3</w:t>
      </w:r>
      <w:r>
        <w:fldChar w:fldCharType="end"/>
      </w:r>
    </w:p>
    <w:p w14:paraId="7E86740C">
      <w:pPr>
        <w:pStyle w:val="33"/>
        <w:tabs>
          <w:tab w:val="right" w:leader="dot" w:pos="9185"/>
        </w:tabs>
      </w:pPr>
      <w:r>
        <w:fldChar w:fldCharType="begin"/>
      </w:r>
      <w:r>
        <w:instrText xml:space="preserve"> HYPERLINK \l "_Toc12897" </w:instrText>
      </w:r>
      <w:r>
        <w:fldChar w:fldCharType="separate"/>
      </w:r>
      <w:r>
        <w:rPr>
          <w:rFonts w:hint="eastAsia" w:ascii="宋体" w:hAnsi="宋体" w:eastAsia="宋体" w:cs="宋体"/>
          <w:szCs w:val="24"/>
          <w:lang w:val="en-US" w:eastAsia="zh-CN"/>
        </w:rPr>
        <w:t>8</w:t>
      </w:r>
      <w:r>
        <w:rPr>
          <w:rFonts w:hint="eastAsia" w:ascii="宋体" w:hAnsi="宋体" w:eastAsia="宋体" w:cs="宋体"/>
          <w:szCs w:val="24"/>
        </w:rPr>
        <w:t>.招标文件费用</w:t>
      </w:r>
      <w:r>
        <w:tab/>
      </w:r>
      <w:r>
        <w:fldChar w:fldCharType="begin"/>
      </w:r>
      <w:r>
        <w:instrText xml:space="preserve"> PAGEREF _Toc12897 \h </w:instrText>
      </w:r>
      <w:r>
        <w:fldChar w:fldCharType="separate"/>
      </w:r>
      <w:r>
        <w:t>3</w:t>
      </w:r>
      <w:r>
        <w:fldChar w:fldCharType="end"/>
      </w:r>
      <w:r>
        <w:fldChar w:fldCharType="end"/>
      </w:r>
    </w:p>
    <w:p w14:paraId="046AD13E">
      <w:pPr>
        <w:pStyle w:val="33"/>
        <w:tabs>
          <w:tab w:val="right" w:leader="dot" w:pos="9185"/>
        </w:tabs>
      </w:pPr>
      <w:r>
        <w:fldChar w:fldCharType="begin"/>
      </w:r>
      <w:r>
        <w:instrText xml:space="preserve"> HYPERLINK \l "_Toc24239" </w:instrText>
      </w:r>
      <w:r>
        <w:fldChar w:fldCharType="separate"/>
      </w:r>
      <w:r>
        <w:rPr>
          <w:rFonts w:hint="eastAsia" w:ascii="宋体" w:hAnsi="宋体" w:eastAsia="宋体" w:cs="宋体"/>
          <w:szCs w:val="24"/>
          <w:lang w:val="en-US" w:eastAsia="zh-CN"/>
        </w:rPr>
        <w:t>9</w:t>
      </w:r>
      <w:r>
        <w:rPr>
          <w:rFonts w:hint="eastAsia" w:ascii="宋体" w:hAnsi="宋体" w:eastAsia="宋体" w:cs="宋体"/>
          <w:szCs w:val="24"/>
        </w:rPr>
        <w:t>. 投标文件的递交</w:t>
      </w:r>
      <w:r>
        <w:tab/>
      </w:r>
      <w:r>
        <w:fldChar w:fldCharType="begin"/>
      </w:r>
      <w:r>
        <w:instrText xml:space="preserve"> PAGEREF _Toc24239 \h </w:instrText>
      </w:r>
      <w:r>
        <w:fldChar w:fldCharType="separate"/>
      </w:r>
      <w:r>
        <w:t>3</w:t>
      </w:r>
      <w:r>
        <w:fldChar w:fldCharType="end"/>
      </w:r>
      <w:r>
        <w:fldChar w:fldCharType="end"/>
      </w:r>
    </w:p>
    <w:p w14:paraId="04C59894">
      <w:pPr>
        <w:pStyle w:val="33"/>
        <w:tabs>
          <w:tab w:val="right" w:leader="dot" w:pos="9185"/>
        </w:tabs>
      </w:pPr>
      <w:r>
        <w:fldChar w:fldCharType="begin"/>
      </w:r>
      <w:r>
        <w:instrText xml:space="preserve"> HYPERLINK \l "_Toc28903" </w:instrText>
      </w:r>
      <w:r>
        <w:fldChar w:fldCharType="separate"/>
      </w:r>
      <w:r>
        <w:rPr>
          <w:rFonts w:hint="eastAsia" w:ascii="宋体" w:hAnsi="宋体" w:eastAsia="宋体" w:cs="宋体"/>
          <w:szCs w:val="24"/>
          <w:lang w:val="en-US" w:eastAsia="zh-CN"/>
        </w:rPr>
        <w:t>10</w:t>
      </w:r>
      <w:r>
        <w:rPr>
          <w:rFonts w:hint="eastAsia" w:ascii="宋体" w:hAnsi="宋体" w:eastAsia="宋体" w:cs="宋体"/>
          <w:szCs w:val="24"/>
        </w:rPr>
        <w:t>.联系方式</w:t>
      </w:r>
      <w:r>
        <w:tab/>
      </w:r>
      <w:r>
        <w:rPr>
          <w:rFonts w:hint="eastAsia"/>
          <w:lang w:val="en-US" w:eastAsia="zh-CN"/>
        </w:rPr>
        <w:t>4</w:t>
      </w:r>
      <w:r>
        <w:fldChar w:fldCharType="end"/>
      </w:r>
    </w:p>
    <w:p w14:paraId="7A028302">
      <w:pPr>
        <w:pStyle w:val="39"/>
        <w:tabs>
          <w:tab w:val="right" w:leader="dot" w:pos="9185"/>
        </w:tabs>
      </w:pPr>
      <w:r>
        <w:fldChar w:fldCharType="begin"/>
      </w:r>
      <w:r>
        <w:instrText xml:space="preserve"> HYPERLINK \l "_Toc8583" </w:instrText>
      </w:r>
      <w:r>
        <w:fldChar w:fldCharType="separate"/>
      </w:r>
      <w:r>
        <w:rPr>
          <w:rFonts w:hint="eastAsia" w:ascii="宋体" w:hAnsi="宋体" w:cs="宋体"/>
          <w:szCs w:val="24"/>
        </w:rPr>
        <w:t>附件 1-1：投标意向确认书格式</w:t>
      </w:r>
      <w:r>
        <w:tab/>
      </w:r>
      <w:r>
        <w:rPr>
          <w:rFonts w:hint="eastAsia"/>
          <w:lang w:val="en-US" w:eastAsia="zh-CN"/>
        </w:rPr>
        <w:t>5</w:t>
      </w:r>
      <w:r>
        <w:fldChar w:fldCharType="end"/>
      </w:r>
    </w:p>
    <w:p w14:paraId="22B81C2D">
      <w:pPr>
        <w:pStyle w:val="39"/>
        <w:tabs>
          <w:tab w:val="right" w:leader="dot" w:pos="9185"/>
        </w:tabs>
      </w:pPr>
      <w:r>
        <w:fldChar w:fldCharType="begin"/>
      </w:r>
      <w:r>
        <w:instrText xml:space="preserve"> HYPERLINK \l "_Toc5061" </w:instrText>
      </w:r>
      <w:r>
        <w:fldChar w:fldCharType="separate"/>
      </w:r>
      <w:r>
        <w:rPr>
          <w:rFonts w:hint="eastAsia" w:ascii="宋体" w:hAnsi="宋体" w:cs="宋体"/>
          <w:szCs w:val="24"/>
        </w:rPr>
        <w:t>附件 1-2：投标联系人确认书格式</w:t>
      </w:r>
      <w:r>
        <w:tab/>
      </w:r>
      <w:r>
        <w:rPr>
          <w:rFonts w:hint="eastAsia"/>
          <w:lang w:val="en-US" w:eastAsia="zh-CN"/>
        </w:rPr>
        <w:t>6</w:t>
      </w:r>
      <w:r>
        <w:fldChar w:fldCharType="end"/>
      </w:r>
    </w:p>
    <w:p w14:paraId="40BCC5A9">
      <w:pPr>
        <w:pStyle w:val="33"/>
        <w:tabs>
          <w:tab w:val="right" w:leader="dot" w:pos="9185"/>
        </w:tabs>
      </w:pPr>
      <w:r>
        <w:fldChar w:fldCharType="begin"/>
      </w:r>
      <w:r>
        <w:instrText xml:space="preserve"> HYPERLINK \l "_Toc17117" </w:instrText>
      </w:r>
      <w:r>
        <w:fldChar w:fldCharType="separate"/>
      </w:r>
      <w:r>
        <w:rPr>
          <w:rFonts w:ascii="宋体" w:hAnsi="宋体" w:eastAsia="宋体" w:cs="宋体"/>
          <w:szCs w:val="28"/>
        </w:rPr>
        <w:t xml:space="preserve">第二章 </w:t>
      </w:r>
      <w:r>
        <w:rPr>
          <w:rFonts w:hint="eastAsia" w:ascii="宋体" w:hAnsi="宋体" w:eastAsia="宋体" w:cs="宋体"/>
          <w:szCs w:val="32"/>
        </w:rPr>
        <w:t>投标须知</w:t>
      </w:r>
      <w:r>
        <w:tab/>
      </w:r>
      <w:r>
        <w:rPr>
          <w:rFonts w:hint="eastAsia"/>
          <w:lang w:val="en-US" w:eastAsia="zh-CN"/>
        </w:rPr>
        <w:t>7</w:t>
      </w:r>
      <w:r>
        <w:fldChar w:fldCharType="end"/>
      </w:r>
    </w:p>
    <w:p w14:paraId="54D63DFD">
      <w:pPr>
        <w:pStyle w:val="39"/>
        <w:tabs>
          <w:tab w:val="right" w:leader="dot" w:pos="9185"/>
        </w:tabs>
      </w:pPr>
      <w:r>
        <w:fldChar w:fldCharType="begin"/>
      </w:r>
      <w:r>
        <w:instrText xml:space="preserve"> HYPERLINK \l "_Toc11660" </w:instrText>
      </w:r>
      <w:r>
        <w:fldChar w:fldCharType="separate"/>
      </w:r>
      <w:r>
        <w:rPr>
          <w:rFonts w:hint="eastAsia" w:ascii="宋体" w:hAnsi="宋体" w:cs="宋体"/>
        </w:rPr>
        <w:t>第一部分 投标人须知前附表</w:t>
      </w:r>
      <w:r>
        <w:tab/>
      </w:r>
      <w:r>
        <w:rPr>
          <w:rFonts w:hint="eastAsia"/>
          <w:lang w:val="en-US" w:eastAsia="zh-CN"/>
        </w:rPr>
        <w:t>7</w:t>
      </w:r>
      <w:r>
        <w:fldChar w:fldCharType="end"/>
      </w:r>
    </w:p>
    <w:p w14:paraId="506B9120">
      <w:pPr>
        <w:pStyle w:val="39"/>
        <w:tabs>
          <w:tab w:val="right" w:leader="dot" w:pos="9185"/>
        </w:tabs>
      </w:pPr>
      <w:r>
        <w:fldChar w:fldCharType="begin"/>
      </w:r>
      <w:r>
        <w:instrText xml:space="preserve"> HYPERLINK \l "_Toc10574" </w:instrText>
      </w:r>
      <w:r>
        <w:fldChar w:fldCharType="separate"/>
      </w:r>
      <w:r>
        <w:rPr>
          <w:rFonts w:hint="eastAsia" w:ascii="宋体" w:hAnsi="宋体" w:cs="宋体"/>
        </w:rPr>
        <w:t>第二部分 投标人须知正文部分</w:t>
      </w:r>
      <w:r>
        <w:tab/>
      </w:r>
      <w:r>
        <w:fldChar w:fldCharType="begin"/>
      </w:r>
      <w:r>
        <w:instrText xml:space="preserve"> PAGEREF _Toc10574 \h </w:instrText>
      </w:r>
      <w:r>
        <w:fldChar w:fldCharType="separate"/>
      </w:r>
      <w:r>
        <w:t>1</w:t>
      </w:r>
      <w:r>
        <w:rPr>
          <w:rFonts w:hint="eastAsia"/>
          <w:lang w:val="en-US" w:eastAsia="zh-CN"/>
        </w:rPr>
        <w:t>1</w:t>
      </w:r>
      <w:r>
        <w:fldChar w:fldCharType="end"/>
      </w:r>
      <w:r>
        <w:fldChar w:fldCharType="end"/>
      </w:r>
    </w:p>
    <w:p w14:paraId="1A1B5707">
      <w:pPr>
        <w:pStyle w:val="39"/>
        <w:tabs>
          <w:tab w:val="right" w:leader="dot" w:pos="9185"/>
        </w:tabs>
      </w:pPr>
      <w:r>
        <w:fldChar w:fldCharType="begin"/>
      </w:r>
      <w:r>
        <w:instrText xml:space="preserve"> HYPERLINK \l "_Toc22406" </w:instrText>
      </w:r>
      <w:r>
        <w:fldChar w:fldCharType="separate"/>
      </w:r>
      <w:r>
        <w:rPr>
          <w:rFonts w:hint="eastAsia"/>
        </w:rPr>
        <w:t>1. 总则</w:t>
      </w:r>
      <w:r>
        <w:tab/>
      </w:r>
      <w:r>
        <w:fldChar w:fldCharType="begin"/>
      </w:r>
      <w:r>
        <w:instrText xml:space="preserve"> PAGEREF _Toc22406 \h </w:instrText>
      </w:r>
      <w:r>
        <w:fldChar w:fldCharType="separate"/>
      </w:r>
      <w:r>
        <w:t>1</w:t>
      </w:r>
      <w:r>
        <w:rPr>
          <w:rFonts w:hint="eastAsia"/>
          <w:lang w:val="en-US" w:eastAsia="zh-CN"/>
        </w:rPr>
        <w:t>1</w:t>
      </w:r>
      <w:r>
        <w:fldChar w:fldCharType="end"/>
      </w:r>
      <w:r>
        <w:fldChar w:fldCharType="end"/>
      </w:r>
    </w:p>
    <w:p w14:paraId="4B12D7EE">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"_Toc10644" </w:instrText>
      </w:r>
      <w:r>
        <w:rPr>
          <w:rFonts w:hint="eastAsia"/>
          <w:lang w:val="en-US" w:eastAsia="zh-CN"/>
        </w:rPr>
        <w:fldChar w:fldCharType="separate"/>
      </w:r>
      <w:r>
        <w:rPr>
          <w:rFonts w:hint="eastAsia"/>
          <w:lang w:val="en-US" w:eastAsia="zh-CN"/>
        </w:rPr>
        <w:t>1.1 项目概况</w:t>
      </w:r>
      <w:r>
        <w:rPr>
          <w:rFonts w:hint="eastAsia"/>
          <w:lang w:val="en-US" w:eastAsia="zh-CN"/>
        </w:rPr>
        <w:tab/>
      </w:r>
      <w:r>
        <w:rPr>
          <w:rFonts w:hint="eastAsia"/>
          <w:lang w:val="en-US" w:eastAsia="zh-CN"/>
        </w:rPr>
        <w:fldChar w:fldCharType="begin"/>
      </w:r>
      <w:r>
        <w:rPr>
          <w:rFonts w:hint="eastAsia"/>
          <w:lang w:val="en-US" w:eastAsia="zh-CN"/>
        </w:rPr>
        <w:instrText xml:space="preserve"> PAGEREF _Toc10644 \h </w:instrText>
      </w:r>
      <w:r>
        <w:rPr>
          <w:rFonts w:hint="eastAsia"/>
          <w:lang w:val="en-US" w:eastAsia="zh-CN"/>
        </w:rPr>
        <w:fldChar w:fldCharType="separate"/>
      </w:r>
      <w:r>
        <w:rPr>
          <w:rFonts w:hint="eastAsia"/>
          <w:lang w:val="en-US" w:eastAsia="zh-CN"/>
        </w:rPr>
        <w:t>11</w:t>
      </w:r>
      <w:r>
        <w:rPr>
          <w:rFonts w:hint="eastAsia"/>
          <w:lang w:val="en-US" w:eastAsia="zh-CN"/>
        </w:rPr>
        <w:fldChar w:fldCharType="end"/>
      </w:r>
      <w:r>
        <w:rPr>
          <w:rFonts w:hint="eastAsia"/>
          <w:lang w:val="en-US" w:eastAsia="zh-CN"/>
        </w:rPr>
        <w:fldChar w:fldCharType="end"/>
      </w:r>
    </w:p>
    <w:p w14:paraId="3EA3DEDB">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"_Toc6589" </w:instrText>
      </w:r>
      <w:r>
        <w:rPr>
          <w:rFonts w:hint="eastAsia"/>
          <w:lang w:val="en-US" w:eastAsia="zh-CN"/>
        </w:rPr>
        <w:fldChar w:fldCharType="separate"/>
      </w:r>
      <w:r>
        <w:rPr>
          <w:rFonts w:hint="eastAsia"/>
          <w:lang w:val="en-US" w:eastAsia="zh-CN"/>
        </w:rPr>
        <w:t>1.2 资金来源和落实情况</w:t>
      </w:r>
      <w:r>
        <w:rPr>
          <w:rFonts w:hint="eastAsia"/>
          <w:lang w:val="en-US" w:eastAsia="zh-CN"/>
        </w:rPr>
        <w:tab/>
      </w:r>
      <w:r>
        <w:rPr>
          <w:rFonts w:hint="eastAsia"/>
          <w:lang w:val="en-US" w:eastAsia="zh-CN"/>
        </w:rPr>
        <w:fldChar w:fldCharType="begin"/>
      </w:r>
      <w:r>
        <w:rPr>
          <w:rFonts w:hint="eastAsia"/>
          <w:lang w:val="en-US" w:eastAsia="zh-CN"/>
        </w:rPr>
        <w:instrText xml:space="preserve"> PAGEREF _Toc6589 \h </w:instrText>
      </w:r>
      <w:r>
        <w:rPr>
          <w:rFonts w:hint="eastAsia"/>
          <w:lang w:val="en-US" w:eastAsia="zh-CN"/>
        </w:rPr>
        <w:fldChar w:fldCharType="separate"/>
      </w:r>
      <w:r>
        <w:rPr>
          <w:rFonts w:hint="eastAsia"/>
          <w:lang w:val="en-US" w:eastAsia="zh-CN"/>
        </w:rPr>
        <w:t>11</w:t>
      </w:r>
      <w:r>
        <w:rPr>
          <w:rFonts w:hint="eastAsia"/>
          <w:lang w:val="en-US" w:eastAsia="zh-CN"/>
        </w:rPr>
        <w:fldChar w:fldCharType="end"/>
      </w:r>
      <w:r>
        <w:rPr>
          <w:rFonts w:hint="eastAsia"/>
          <w:lang w:val="en-US" w:eastAsia="zh-CN"/>
        </w:rPr>
        <w:fldChar w:fldCharType="end"/>
      </w:r>
    </w:p>
    <w:p w14:paraId="4F49FCE7">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"_Toc24823" </w:instrText>
      </w:r>
      <w:r>
        <w:rPr>
          <w:rFonts w:hint="eastAsia"/>
          <w:lang w:val="en-US" w:eastAsia="zh-CN"/>
        </w:rPr>
        <w:fldChar w:fldCharType="separate"/>
      </w:r>
      <w:r>
        <w:rPr>
          <w:rFonts w:hint="eastAsia"/>
          <w:lang w:val="en-US" w:eastAsia="zh-CN"/>
        </w:rPr>
        <w:t>1.3 招标范围、计划工期、质量要求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_Toc24823 \h </w:instrText>
      </w:r>
      <w:r>
        <w:rPr>
          <w:rFonts w:hint="eastAsia"/>
          <w:lang w:val="en-US" w:eastAsia="zh-CN"/>
        </w:rPr>
        <w:fldChar w:fldCharType="separate"/>
      </w:r>
      <w:r>
        <w:rPr>
          <w:rFonts w:hint="eastAsia"/>
          <w:lang w:val="en-US" w:eastAsia="zh-CN"/>
        </w:rPr>
        <w:t>11</w:t>
      </w:r>
      <w:r>
        <w:rPr>
          <w:rFonts w:hint="eastAsia"/>
          <w:lang w:val="en-US" w:eastAsia="zh-CN"/>
        </w:rPr>
        <w:fldChar w:fldCharType="end"/>
      </w:r>
      <w:r>
        <w:rPr>
          <w:rFonts w:hint="eastAsia"/>
          <w:lang w:val="en-US" w:eastAsia="zh-CN"/>
        </w:rPr>
        <w:fldChar w:fldCharType="end"/>
      </w:r>
    </w:p>
    <w:p w14:paraId="186BCB6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"_Toc9235" </w:instrText>
      </w:r>
      <w:r>
        <w:rPr>
          <w:rFonts w:hint="eastAsia"/>
          <w:lang w:val="en-US" w:eastAsia="zh-CN"/>
        </w:rPr>
        <w:fldChar w:fldCharType="separate"/>
      </w:r>
      <w:r>
        <w:rPr>
          <w:rFonts w:hint="eastAsia"/>
          <w:lang w:val="en-US" w:eastAsia="zh-CN"/>
        </w:rPr>
        <w:t>1.4 投标人资格要求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_Toc9235 \h </w:instrText>
      </w:r>
      <w:r>
        <w:rPr>
          <w:rFonts w:hint="eastAsia"/>
          <w:lang w:val="en-US" w:eastAsia="zh-CN"/>
        </w:rPr>
        <w:fldChar w:fldCharType="separate"/>
      </w:r>
      <w:r>
        <w:rPr>
          <w:rFonts w:hint="eastAsia"/>
          <w:lang w:val="en-US" w:eastAsia="zh-CN"/>
        </w:rPr>
        <w:t>11</w:t>
      </w:r>
      <w:r>
        <w:rPr>
          <w:rFonts w:hint="eastAsia"/>
          <w:lang w:val="en-US" w:eastAsia="zh-CN"/>
        </w:rPr>
        <w:fldChar w:fldCharType="end"/>
      </w:r>
      <w:r>
        <w:rPr>
          <w:rFonts w:hint="eastAsia"/>
          <w:lang w:val="en-US" w:eastAsia="zh-CN"/>
        </w:rPr>
        <w:fldChar w:fldCharType="end"/>
      </w:r>
    </w:p>
    <w:p w14:paraId="51168CC3">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"_Toc12433" </w:instrText>
      </w:r>
      <w:r>
        <w:rPr>
          <w:rFonts w:hint="eastAsia"/>
          <w:lang w:val="en-US" w:eastAsia="zh-CN"/>
        </w:rPr>
        <w:fldChar w:fldCharType="separate"/>
      </w:r>
      <w:r>
        <w:rPr>
          <w:rFonts w:hint="eastAsia"/>
          <w:lang w:val="en-US" w:eastAsia="zh-CN"/>
        </w:rPr>
        <w:t>1.5 费用承担</w:t>
      </w:r>
      <w:r>
        <w:rPr>
          <w:rFonts w:hint="eastAsia"/>
          <w:lang w:val="en-US" w:eastAsia="zh-CN"/>
        </w:rPr>
        <w:tab/>
      </w:r>
      <w:r>
        <w:rPr>
          <w:rFonts w:hint="eastAsia"/>
          <w:lang w:val="en-US" w:eastAsia="zh-CN"/>
        </w:rPr>
        <w:fldChar w:fldCharType="begin"/>
      </w:r>
      <w:r>
        <w:rPr>
          <w:rFonts w:hint="eastAsia"/>
          <w:lang w:val="en-US" w:eastAsia="zh-CN"/>
        </w:rPr>
        <w:instrText xml:space="preserve"> PAGEREF _Toc12433 \h </w:instrText>
      </w:r>
      <w:r>
        <w:rPr>
          <w:rFonts w:hint="eastAsia"/>
          <w:lang w:val="en-US" w:eastAsia="zh-CN"/>
        </w:rPr>
        <w:fldChar w:fldCharType="separate"/>
      </w:r>
      <w:r>
        <w:rPr>
          <w:rFonts w:hint="eastAsia"/>
          <w:lang w:val="en-US" w:eastAsia="zh-CN"/>
        </w:rPr>
        <w:t>12</w:t>
      </w:r>
      <w:r>
        <w:rPr>
          <w:rFonts w:hint="eastAsia"/>
          <w:lang w:val="en-US" w:eastAsia="zh-CN"/>
        </w:rPr>
        <w:fldChar w:fldCharType="end"/>
      </w:r>
      <w:r>
        <w:rPr>
          <w:rFonts w:hint="eastAsia"/>
          <w:lang w:val="en-US" w:eastAsia="zh-CN"/>
        </w:rPr>
        <w:fldChar w:fldCharType="end"/>
      </w:r>
    </w:p>
    <w:p w14:paraId="5A90CA6B">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"_Toc26900" </w:instrText>
      </w:r>
      <w:r>
        <w:rPr>
          <w:rFonts w:hint="eastAsia"/>
          <w:lang w:val="en-US" w:eastAsia="zh-CN"/>
        </w:rPr>
        <w:fldChar w:fldCharType="separate"/>
      </w:r>
      <w:r>
        <w:rPr>
          <w:rFonts w:hint="eastAsia"/>
          <w:lang w:val="en-US" w:eastAsia="zh-CN"/>
        </w:rPr>
        <w:t>1.6 保密</w:t>
      </w:r>
      <w:r>
        <w:rPr>
          <w:rFonts w:hint="eastAsia"/>
          <w:lang w:val="en-US" w:eastAsia="zh-CN"/>
        </w:rPr>
        <w:tab/>
      </w:r>
      <w:r>
        <w:rPr>
          <w:rFonts w:hint="eastAsia"/>
          <w:lang w:val="en-US" w:eastAsia="zh-CN"/>
        </w:rPr>
        <w:t>12</w:t>
      </w:r>
      <w:r>
        <w:rPr>
          <w:rFonts w:hint="eastAsia"/>
          <w:lang w:val="en-US" w:eastAsia="zh-CN"/>
        </w:rPr>
        <w:fldChar w:fldCharType="end"/>
      </w:r>
    </w:p>
    <w:p w14:paraId="57734DB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"_Toc18247" </w:instrText>
      </w:r>
      <w:r>
        <w:rPr>
          <w:rFonts w:hint="eastAsia"/>
          <w:lang w:val="en-US" w:eastAsia="zh-CN"/>
        </w:rPr>
        <w:fldChar w:fldCharType="separate"/>
      </w:r>
      <w:r>
        <w:rPr>
          <w:rFonts w:hint="eastAsia"/>
          <w:lang w:val="en-US" w:eastAsia="zh-CN"/>
        </w:rPr>
        <w:t>1.7 语言文字</w:t>
      </w:r>
      <w:r>
        <w:rPr>
          <w:rFonts w:hint="eastAsia"/>
          <w:lang w:val="en-US" w:eastAsia="zh-CN"/>
        </w:rPr>
        <w:tab/>
      </w:r>
      <w:r>
        <w:rPr>
          <w:rFonts w:hint="eastAsia"/>
          <w:lang w:val="en-US" w:eastAsia="zh-CN"/>
        </w:rPr>
        <w:fldChar w:fldCharType="begin"/>
      </w:r>
      <w:r>
        <w:rPr>
          <w:rFonts w:hint="eastAsia"/>
          <w:lang w:val="en-US" w:eastAsia="zh-CN"/>
        </w:rPr>
        <w:instrText xml:space="preserve"> PAGEREF _Toc18247 \h </w:instrText>
      </w:r>
      <w:r>
        <w:rPr>
          <w:rFonts w:hint="eastAsia"/>
          <w:lang w:val="en-US" w:eastAsia="zh-CN"/>
        </w:rPr>
        <w:fldChar w:fldCharType="separate"/>
      </w:r>
      <w:r>
        <w:rPr>
          <w:rFonts w:hint="eastAsia"/>
          <w:lang w:val="en-US" w:eastAsia="zh-CN"/>
        </w:rPr>
        <w:t>12</w:t>
      </w:r>
      <w:r>
        <w:rPr>
          <w:rFonts w:hint="eastAsia"/>
          <w:lang w:val="en-US" w:eastAsia="zh-CN"/>
        </w:rPr>
        <w:fldChar w:fldCharType="end"/>
      </w:r>
      <w:r>
        <w:rPr>
          <w:rFonts w:hint="eastAsia"/>
          <w:lang w:val="en-US" w:eastAsia="zh-CN"/>
        </w:rPr>
        <w:fldChar w:fldCharType="end"/>
      </w:r>
    </w:p>
    <w:p w14:paraId="132CE408">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"_Toc28783" </w:instrText>
      </w:r>
      <w:r>
        <w:rPr>
          <w:rFonts w:hint="eastAsia"/>
          <w:lang w:val="en-US" w:eastAsia="zh-CN"/>
        </w:rPr>
        <w:fldChar w:fldCharType="separate"/>
      </w:r>
      <w:r>
        <w:rPr>
          <w:rFonts w:hint="eastAsia"/>
          <w:lang w:val="en-US" w:eastAsia="zh-CN"/>
        </w:rPr>
        <w:t>1.8 计量单位</w:t>
      </w:r>
      <w:r>
        <w:rPr>
          <w:rFonts w:hint="eastAsia"/>
          <w:lang w:val="en-US" w:eastAsia="zh-CN"/>
        </w:rPr>
        <w:tab/>
      </w:r>
      <w:r>
        <w:rPr>
          <w:rFonts w:hint="eastAsia"/>
          <w:lang w:val="en-US" w:eastAsia="zh-CN"/>
        </w:rPr>
        <w:fldChar w:fldCharType="begin"/>
      </w:r>
      <w:r>
        <w:rPr>
          <w:rFonts w:hint="eastAsia"/>
          <w:lang w:val="en-US" w:eastAsia="zh-CN"/>
        </w:rPr>
        <w:instrText xml:space="preserve"> PAGEREF _Toc28783 \h </w:instrText>
      </w:r>
      <w:r>
        <w:rPr>
          <w:rFonts w:hint="eastAsia"/>
          <w:lang w:val="en-US" w:eastAsia="zh-CN"/>
        </w:rPr>
        <w:fldChar w:fldCharType="separate"/>
      </w:r>
      <w:r>
        <w:rPr>
          <w:rFonts w:hint="eastAsia"/>
          <w:lang w:val="en-US" w:eastAsia="zh-CN"/>
        </w:rPr>
        <w:t>12</w:t>
      </w:r>
      <w:r>
        <w:rPr>
          <w:rFonts w:hint="eastAsia"/>
          <w:lang w:val="en-US" w:eastAsia="zh-CN"/>
        </w:rPr>
        <w:fldChar w:fldCharType="end"/>
      </w:r>
      <w:r>
        <w:rPr>
          <w:rFonts w:hint="eastAsia"/>
          <w:lang w:val="en-US" w:eastAsia="zh-CN"/>
        </w:rPr>
        <w:fldChar w:fldCharType="end"/>
      </w:r>
    </w:p>
    <w:p w14:paraId="438C8E62">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"_Toc22751" </w:instrText>
      </w:r>
      <w:r>
        <w:rPr>
          <w:rFonts w:hint="eastAsia"/>
          <w:lang w:val="en-US" w:eastAsia="zh-CN"/>
        </w:rPr>
        <w:fldChar w:fldCharType="separate"/>
      </w:r>
      <w:r>
        <w:rPr>
          <w:rFonts w:hint="eastAsia"/>
          <w:lang w:val="en-US" w:eastAsia="zh-CN"/>
        </w:rPr>
        <w:t>1.9 踏勘现场</w:t>
      </w:r>
      <w:r>
        <w:rPr>
          <w:rFonts w:hint="eastAsia"/>
          <w:lang w:val="en-US" w:eastAsia="zh-CN"/>
        </w:rPr>
        <w:tab/>
      </w:r>
      <w:r>
        <w:rPr>
          <w:rFonts w:hint="eastAsia"/>
          <w:lang w:val="en-US" w:eastAsia="zh-CN"/>
        </w:rPr>
        <w:fldChar w:fldCharType="begin"/>
      </w:r>
      <w:r>
        <w:rPr>
          <w:rFonts w:hint="eastAsia"/>
          <w:lang w:val="en-US" w:eastAsia="zh-CN"/>
        </w:rPr>
        <w:instrText xml:space="preserve"> PAGEREF _Toc22751 \h </w:instrText>
      </w:r>
      <w:r>
        <w:rPr>
          <w:rFonts w:hint="eastAsia"/>
          <w:lang w:val="en-US" w:eastAsia="zh-CN"/>
        </w:rPr>
        <w:fldChar w:fldCharType="separate"/>
      </w:r>
      <w:r>
        <w:rPr>
          <w:rFonts w:hint="eastAsia"/>
          <w:lang w:val="en-US" w:eastAsia="zh-CN"/>
        </w:rPr>
        <w:t>13</w:t>
      </w:r>
      <w:r>
        <w:rPr>
          <w:rFonts w:hint="eastAsia"/>
          <w:lang w:val="en-US" w:eastAsia="zh-CN"/>
        </w:rPr>
        <w:fldChar w:fldCharType="end"/>
      </w:r>
      <w:r>
        <w:rPr>
          <w:rFonts w:hint="eastAsia"/>
          <w:lang w:val="en-US" w:eastAsia="zh-CN"/>
        </w:rPr>
        <w:fldChar w:fldCharType="end"/>
      </w:r>
    </w:p>
    <w:p w14:paraId="2169B16B">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"_Toc9795" </w:instrText>
      </w:r>
      <w:r>
        <w:rPr>
          <w:rFonts w:hint="eastAsia"/>
          <w:lang w:val="en-US" w:eastAsia="zh-CN"/>
        </w:rPr>
        <w:fldChar w:fldCharType="separate"/>
      </w:r>
      <w:r>
        <w:rPr>
          <w:rFonts w:hint="eastAsia"/>
          <w:lang w:val="en-US" w:eastAsia="zh-CN"/>
        </w:rPr>
        <w:t>1.10 投标预备会</w:t>
      </w:r>
      <w:r>
        <w:rPr>
          <w:rFonts w:hint="eastAsia"/>
          <w:lang w:val="en-US" w:eastAsia="zh-CN"/>
        </w:rPr>
        <w:tab/>
      </w:r>
      <w:r>
        <w:rPr>
          <w:rFonts w:hint="eastAsia"/>
          <w:lang w:val="en-US" w:eastAsia="zh-CN"/>
        </w:rPr>
        <w:fldChar w:fldCharType="begin"/>
      </w:r>
      <w:r>
        <w:rPr>
          <w:rFonts w:hint="eastAsia"/>
          <w:lang w:val="en-US" w:eastAsia="zh-CN"/>
        </w:rPr>
        <w:instrText xml:space="preserve"> PAGEREF _Toc9795 \h </w:instrText>
      </w:r>
      <w:r>
        <w:rPr>
          <w:rFonts w:hint="eastAsia"/>
          <w:lang w:val="en-US" w:eastAsia="zh-CN"/>
        </w:rPr>
        <w:fldChar w:fldCharType="separate"/>
      </w:r>
      <w:r>
        <w:rPr>
          <w:rFonts w:hint="eastAsia"/>
          <w:lang w:val="en-US" w:eastAsia="zh-CN"/>
        </w:rPr>
        <w:t>13</w:t>
      </w:r>
      <w:r>
        <w:rPr>
          <w:rFonts w:hint="eastAsia"/>
          <w:lang w:val="en-US" w:eastAsia="zh-CN"/>
        </w:rPr>
        <w:fldChar w:fldCharType="end"/>
      </w:r>
      <w:r>
        <w:rPr>
          <w:rFonts w:hint="eastAsia"/>
          <w:lang w:val="en-US" w:eastAsia="zh-CN"/>
        </w:rPr>
        <w:fldChar w:fldCharType="end"/>
      </w:r>
    </w:p>
    <w:p w14:paraId="0371187D">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"_Toc21167" </w:instrText>
      </w:r>
      <w:r>
        <w:rPr>
          <w:rFonts w:hint="eastAsia"/>
          <w:lang w:val="en-US" w:eastAsia="zh-CN"/>
        </w:rPr>
        <w:fldChar w:fldCharType="separate"/>
      </w:r>
      <w:r>
        <w:rPr>
          <w:rFonts w:hint="eastAsia"/>
          <w:lang w:val="en-US" w:eastAsia="zh-CN"/>
        </w:rPr>
        <w:t>1.11 偏离</w:t>
      </w:r>
      <w:r>
        <w:rPr>
          <w:rFonts w:hint="eastAsia"/>
          <w:lang w:val="en-US" w:eastAsia="zh-CN"/>
        </w:rPr>
        <w:tab/>
      </w:r>
      <w:r>
        <w:rPr>
          <w:rFonts w:hint="eastAsia"/>
          <w:lang w:val="en-US" w:eastAsia="zh-CN"/>
        </w:rPr>
        <w:fldChar w:fldCharType="begin"/>
      </w:r>
      <w:r>
        <w:rPr>
          <w:rFonts w:hint="eastAsia"/>
          <w:lang w:val="en-US" w:eastAsia="zh-CN"/>
        </w:rPr>
        <w:instrText xml:space="preserve"> PAGEREF _Toc21167 \h </w:instrText>
      </w:r>
      <w:r>
        <w:rPr>
          <w:rFonts w:hint="eastAsia"/>
          <w:lang w:val="en-US" w:eastAsia="zh-CN"/>
        </w:rPr>
        <w:fldChar w:fldCharType="separate"/>
      </w:r>
      <w:r>
        <w:rPr>
          <w:rFonts w:hint="eastAsia"/>
          <w:lang w:val="en-US" w:eastAsia="zh-CN"/>
        </w:rPr>
        <w:t>13</w:t>
      </w:r>
      <w:r>
        <w:rPr>
          <w:rFonts w:hint="eastAsia"/>
          <w:lang w:val="en-US" w:eastAsia="zh-CN"/>
        </w:rPr>
        <w:fldChar w:fldCharType="end"/>
      </w:r>
      <w:r>
        <w:rPr>
          <w:rFonts w:hint="eastAsia"/>
          <w:lang w:val="en-US" w:eastAsia="zh-CN"/>
        </w:rPr>
        <w:fldChar w:fldCharType="end"/>
      </w:r>
    </w:p>
    <w:p w14:paraId="3252626D">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"_Toc21906" </w:instrText>
      </w:r>
      <w:r>
        <w:rPr>
          <w:rFonts w:hint="eastAsia"/>
          <w:lang w:val="en-US" w:eastAsia="zh-CN"/>
        </w:rPr>
        <w:fldChar w:fldCharType="separate"/>
      </w:r>
      <w:r>
        <w:rPr>
          <w:rFonts w:hint="eastAsia"/>
          <w:lang w:val="en-US" w:eastAsia="zh-CN"/>
        </w:rPr>
        <w:t>1.12知识产权声明</w:t>
      </w:r>
      <w:r>
        <w:rPr>
          <w:rFonts w:hint="eastAsia"/>
          <w:lang w:val="en-US" w:eastAsia="zh-CN"/>
        </w:rPr>
        <w:tab/>
      </w:r>
      <w:r>
        <w:rPr>
          <w:rFonts w:hint="eastAsia"/>
          <w:lang w:val="en-US" w:eastAsia="zh-CN"/>
        </w:rPr>
        <w:fldChar w:fldCharType="begin"/>
      </w:r>
      <w:r>
        <w:rPr>
          <w:rFonts w:hint="eastAsia"/>
          <w:lang w:val="en-US" w:eastAsia="zh-CN"/>
        </w:rPr>
        <w:instrText xml:space="preserve"> PAGEREF _Toc21906 \h </w:instrText>
      </w:r>
      <w:r>
        <w:rPr>
          <w:rFonts w:hint="eastAsia"/>
          <w:lang w:val="en-US" w:eastAsia="zh-CN"/>
        </w:rPr>
        <w:fldChar w:fldCharType="separate"/>
      </w:r>
      <w:r>
        <w:rPr>
          <w:rFonts w:hint="eastAsia"/>
          <w:lang w:val="en-US" w:eastAsia="zh-CN"/>
        </w:rPr>
        <w:t>13</w:t>
      </w:r>
      <w:r>
        <w:rPr>
          <w:rFonts w:hint="eastAsia"/>
          <w:lang w:val="en-US" w:eastAsia="zh-CN"/>
        </w:rPr>
        <w:fldChar w:fldCharType="end"/>
      </w:r>
      <w:r>
        <w:rPr>
          <w:rFonts w:hint="eastAsia"/>
          <w:lang w:val="en-US" w:eastAsia="zh-CN"/>
        </w:rPr>
        <w:fldChar w:fldCharType="end"/>
      </w:r>
    </w:p>
    <w:p w14:paraId="35BC4F07">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"_Toc8870" </w:instrText>
      </w:r>
      <w:r>
        <w:rPr>
          <w:rFonts w:hint="eastAsia"/>
          <w:lang w:val="en-US" w:eastAsia="zh-CN"/>
        </w:rPr>
        <w:fldChar w:fldCharType="separate"/>
      </w:r>
      <w:r>
        <w:rPr>
          <w:rFonts w:hint="eastAsia"/>
          <w:lang w:val="en-US" w:eastAsia="zh-CN"/>
        </w:rPr>
        <w:t>2. 招标文件</w:t>
      </w:r>
      <w:r>
        <w:rPr>
          <w:rFonts w:hint="eastAsia"/>
          <w:lang w:val="en-US" w:eastAsia="zh-CN"/>
        </w:rPr>
        <w:tab/>
      </w:r>
      <w:r>
        <w:rPr>
          <w:rFonts w:hint="eastAsia"/>
          <w:lang w:val="en-US" w:eastAsia="zh-CN"/>
        </w:rPr>
        <w:fldChar w:fldCharType="begin"/>
      </w:r>
      <w:r>
        <w:rPr>
          <w:rFonts w:hint="eastAsia"/>
          <w:lang w:val="en-US" w:eastAsia="zh-CN"/>
        </w:rPr>
        <w:instrText xml:space="preserve"> PAGEREF _Toc8870 \h </w:instrText>
      </w:r>
      <w:r>
        <w:rPr>
          <w:rFonts w:hint="eastAsia"/>
          <w:lang w:val="en-US" w:eastAsia="zh-CN"/>
        </w:rPr>
        <w:fldChar w:fldCharType="separate"/>
      </w:r>
      <w:r>
        <w:rPr>
          <w:rFonts w:hint="eastAsia"/>
          <w:lang w:val="en-US" w:eastAsia="zh-CN"/>
        </w:rPr>
        <w:t>13</w:t>
      </w:r>
      <w:r>
        <w:rPr>
          <w:rFonts w:hint="eastAsia"/>
          <w:lang w:val="en-US" w:eastAsia="zh-CN"/>
        </w:rPr>
        <w:fldChar w:fldCharType="end"/>
      </w:r>
      <w:r>
        <w:rPr>
          <w:rFonts w:hint="eastAsia"/>
          <w:lang w:val="en-US" w:eastAsia="zh-CN"/>
        </w:rPr>
        <w:fldChar w:fldCharType="end"/>
      </w:r>
    </w:p>
    <w:p w14:paraId="30177498">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"_Toc12192" </w:instrText>
      </w:r>
      <w:r>
        <w:rPr>
          <w:rFonts w:hint="eastAsia"/>
          <w:lang w:val="en-US" w:eastAsia="zh-CN"/>
        </w:rPr>
        <w:fldChar w:fldCharType="separate"/>
      </w:r>
      <w:r>
        <w:rPr>
          <w:rFonts w:hint="eastAsia"/>
          <w:lang w:val="en-US" w:eastAsia="zh-CN"/>
        </w:rPr>
        <w:t>2.1 招标文件的组成</w:t>
      </w:r>
      <w:r>
        <w:rPr>
          <w:rFonts w:hint="eastAsia"/>
          <w:lang w:val="en-US" w:eastAsia="zh-CN"/>
        </w:rPr>
        <w:tab/>
      </w:r>
      <w:r>
        <w:rPr>
          <w:rFonts w:hint="eastAsia"/>
          <w:lang w:val="en-US" w:eastAsia="zh-CN"/>
        </w:rPr>
        <w:fldChar w:fldCharType="begin"/>
      </w:r>
      <w:r>
        <w:rPr>
          <w:rFonts w:hint="eastAsia"/>
          <w:lang w:val="en-US" w:eastAsia="zh-CN"/>
        </w:rPr>
        <w:instrText xml:space="preserve"> PAGEREF _Toc12192 \h </w:instrText>
      </w:r>
      <w:r>
        <w:rPr>
          <w:rFonts w:hint="eastAsia"/>
          <w:lang w:val="en-US" w:eastAsia="zh-CN"/>
        </w:rPr>
        <w:fldChar w:fldCharType="separate"/>
      </w:r>
      <w:r>
        <w:rPr>
          <w:rFonts w:hint="eastAsia"/>
          <w:lang w:val="en-US" w:eastAsia="zh-CN"/>
        </w:rPr>
        <w:t>13</w:t>
      </w:r>
      <w:r>
        <w:rPr>
          <w:rFonts w:hint="eastAsia"/>
          <w:lang w:val="en-US" w:eastAsia="zh-CN"/>
        </w:rPr>
        <w:fldChar w:fldCharType="end"/>
      </w:r>
      <w:r>
        <w:rPr>
          <w:rFonts w:hint="eastAsia"/>
          <w:lang w:val="en-US" w:eastAsia="zh-CN"/>
        </w:rPr>
        <w:fldChar w:fldCharType="end"/>
      </w:r>
    </w:p>
    <w:p w14:paraId="011568F3">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"_Toc3012" </w:instrText>
      </w:r>
      <w:r>
        <w:rPr>
          <w:rFonts w:hint="eastAsia"/>
          <w:lang w:val="en-US" w:eastAsia="zh-CN"/>
        </w:rPr>
        <w:fldChar w:fldCharType="separate"/>
      </w:r>
      <w:r>
        <w:rPr>
          <w:rFonts w:hint="eastAsia"/>
          <w:lang w:val="en-US" w:eastAsia="zh-CN"/>
        </w:rPr>
        <w:t>2.2招标文件的解释与澄清</w:t>
      </w:r>
      <w:r>
        <w:rPr>
          <w:rFonts w:hint="eastAsia"/>
          <w:lang w:val="en-US" w:eastAsia="zh-CN"/>
        </w:rPr>
        <w:tab/>
      </w:r>
      <w:r>
        <w:rPr>
          <w:rFonts w:hint="eastAsia"/>
          <w:lang w:val="en-US" w:eastAsia="zh-CN"/>
        </w:rPr>
        <w:fldChar w:fldCharType="begin"/>
      </w:r>
      <w:r>
        <w:rPr>
          <w:rFonts w:hint="eastAsia"/>
          <w:lang w:val="en-US" w:eastAsia="zh-CN"/>
        </w:rPr>
        <w:instrText xml:space="preserve"> PAGEREF _Toc3012 \h </w:instrText>
      </w:r>
      <w:r>
        <w:rPr>
          <w:rFonts w:hint="eastAsia"/>
          <w:lang w:val="en-US" w:eastAsia="zh-CN"/>
        </w:rPr>
        <w:fldChar w:fldCharType="separate"/>
      </w:r>
      <w:r>
        <w:rPr>
          <w:rFonts w:hint="eastAsia"/>
          <w:lang w:val="en-US" w:eastAsia="zh-CN"/>
        </w:rPr>
        <w:t>14</w:t>
      </w:r>
      <w:r>
        <w:rPr>
          <w:rFonts w:hint="eastAsia"/>
          <w:lang w:val="en-US" w:eastAsia="zh-CN"/>
        </w:rPr>
        <w:fldChar w:fldCharType="end"/>
      </w:r>
      <w:r>
        <w:rPr>
          <w:rFonts w:hint="eastAsia"/>
          <w:lang w:val="en-US" w:eastAsia="zh-CN"/>
        </w:rPr>
        <w:fldChar w:fldCharType="end"/>
      </w:r>
    </w:p>
    <w:p w14:paraId="07B39EE6">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"_Toc3853" </w:instrText>
      </w:r>
      <w:r>
        <w:rPr>
          <w:rFonts w:hint="eastAsia"/>
          <w:lang w:val="en-US" w:eastAsia="zh-CN"/>
        </w:rPr>
        <w:fldChar w:fldCharType="separate"/>
      </w:r>
      <w:r>
        <w:rPr>
          <w:rFonts w:hint="eastAsia"/>
          <w:lang w:val="en-US" w:eastAsia="zh-CN"/>
        </w:rPr>
        <w:t>2.3招标文件的修改</w:t>
      </w:r>
      <w:r>
        <w:rPr>
          <w:rFonts w:hint="eastAsia"/>
          <w:lang w:val="en-US" w:eastAsia="zh-CN"/>
        </w:rPr>
        <w:tab/>
      </w:r>
      <w:r>
        <w:rPr>
          <w:rFonts w:hint="eastAsia"/>
          <w:lang w:val="en-US" w:eastAsia="zh-CN"/>
        </w:rPr>
        <w:fldChar w:fldCharType="begin"/>
      </w:r>
      <w:r>
        <w:rPr>
          <w:rFonts w:hint="eastAsia"/>
          <w:lang w:val="en-US" w:eastAsia="zh-CN"/>
        </w:rPr>
        <w:instrText xml:space="preserve"> PAGEREF _Toc3853 \h </w:instrText>
      </w:r>
      <w:r>
        <w:rPr>
          <w:rFonts w:hint="eastAsia"/>
          <w:lang w:val="en-US" w:eastAsia="zh-CN"/>
        </w:rPr>
        <w:fldChar w:fldCharType="separate"/>
      </w:r>
      <w:r>
        <w:rPr>
          <w:rFonts w:hint="eastAsia"/>
          <w:lang w:val="en-US" w:eastAsia="zh-CN"/>
        </w:rPr>
        <w:t>14</w:t>
      </w:r>
      <w:r>
        <w:rPr>
          <w:rFonts w:hint="eastAsia"/>
          <w:lang w:val="en-US" w:eastAsia="zh-CN"/>
        </w:rPr>
        <w:fldChar w:fldCharType="end"/>
      </w:r>
      <w:r>
        <w:rPr>
          <w:rFonts w:hint="eastAsia"/>
          <w:lang w:val="en-US" w:eastAsia="zh-CN"/>
        </w:rPr>
        <w:fldChar w:fldCharType="end"/>
      </w:r>
    </w:p>
    <w:p w14:paraId="1B9A1E7E">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"_Toc6980" </w:instrText>
      </w:r>
      <w:r>
        <w:rPr>
          <w:rFonts w:hint="eastAsia"/>
          <w:lang w:val="en-US" w:eastAsia="zh-CN"/>
        </w:rPr>
        <w:fldChar w:fldCharType="separate"/>
      </w:r>
      <w:r>
        <w:rPr>
          <w:rFonts w:hint="eastAsia"/>
          <w:lang w:val="en-US" w:eastAsia="zh-CN"/>
        </w:rPr>
        <w:t>3. 投标文件</w:t>
      </w:r>
      <w:r>
        <w:rPr>
          <w:rFonts w:hint="eastAsia"/>
          <w:lang w:val="en-US" w:eastAsia="zh-CN"/>
        </w:rPr>
        <w:tab/>
      </w:r>
      <w:r>
        <w:rPr>
          <w:rFonts w:hint="eastAsia"/>
          <w:lang w:val="en-US" w:eastAsia="zh-CN"/>
        </w:rPr>
        <w:fldChar w:fldCharType="begin"/>
      </w:r>
      <w:r>
        <w:rPr>
          <w:rFonts w:hint="eastAsia"/>
          <w:lang w:val="en-US" w:eastAsia="zh-CN"/>
        </w:rPr>
        <w:instrText xml:space="preserve"> PAGEREF _Toc6980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614E1348">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"_Toc23777" </w:instrText>
      </w:r>
      <w:r>
        <w:rPr>
          <w:rFonts w:hint="eastAsia"/>
          <w:lang w:val="en-US" w:eastAsia="zh-CN"/>
        </w:rPr>
        <w:fldChar w:fldCharType="separate"/>
      </w:r>
      <w:r>
        <w:rPr>
          <w:rFonts w:hint="eastAsia"/>
          <w:lang w:val="en-US" w:eastAsia="zh-CN"/>
        </w:rPr>
        <w:t>3.1投标文件的编制要求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_Toc23777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40980608">
      <w:pPr>
        <w:pStyle w:val="39"/>
        <w:tabs>
          <w:tab w:val="right" w:leader="dot" w:pos="9185"/>
        </w:tabs>
        <w:rPr>
          <w:rFonts w:hint="eastAsia" w:ascii="宋体" w:hAnsi="宋体" w:eastAsia="华文中宋" w:cs="宋体"/>
          <w:i w:val="0"/>
          <w:smallCaps/>
          <w:kern w:val="2"/>
          <w:sz w:val="20"/>
          <w:lang w:val="en-US" w:eastAsia="zh-CN" w:bidi="ar-SA"/>
        </w:rPr>
      </w:pPr>
      <w:r>
        <w:rPr>
          <w:rFonts w:hint="eastAsia"/>
          <w:lang w:val="en-US" w:eastAsia="zh-CN"/>
        </w:rPr>
        <w:fldChar w:fldCharType="begin"/>
      </w:r>
      <w:r>
        <w:rPr>
          <w:rFonts w:hint="eastAsia"/>
          <w:lang w:val="en-US" w:eastAsia="zh-CN"/>
        </w:rPr>
        <w:instrText xml:space="preserve"> HYPERLINK \l "_Toc11252" </w:instrText>
      </w:r>
      <w:r>
        <w:rPr>
          <w:rFonts w:hint="eastAsia"/>
          <w:lang w:val="en-US" w:eastAsia="zh-CN"/>
        </w:rPr>
        <w:fldChar w:fldCharType="separate"/>
      </w:r>
      <w:r>
        <w:rPr>
          <w:rFonts w:hint="eastAsia"/>
          <w:lang w:val="en-US" w:eastAsia="zh-CN"/>
        </w:rPr>
        <w:t>3.2 投标文件的语言及度量衡单位</w:t>
      </w:r>
      <w:r>
        <w:rPr>
          <w:rFonts w:hint="eastAsia"/>
          <w:lang w:val="en-US" w:eastAsia="zh-CN"/>
        </w:rPr>
        <w:tab/>
      </w:r>
      <w:r>
        <w:rPr>
          <w:rFonts w:hint="eastAsia"/>
          <w:lang w:val="en-US" w:eastAsia="zh-CN"/>
        </w:rPr>
        <w:fldChar w:fldCharType="begin"/>
      </w:r>
      <w:r>
        <w:rPr>
          <w:rFonts w:hint="eastAsia"/>
          <w:lang w:val="en-US" w:eastAsia="zh-CN"/>
        </w:rPr>
        <w:instrText xml:space="preserve"> PAGEREF _Toc11252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08F4E720">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"_Toc28396" </w:instrText>
      </w:r>
      <w:r>
        <w:rPr>
          <w:rFonts w:hint="eastAsia"/>
          <w:lang w:val="en-US" w:eastAsia="zh-CN"/>
        </w:rPr>
        <w:fldChar w:fldCharType="separate"/>
      </w:r>
      <w:r>
        <w:rPr>
          <w:rFonts w:hint="eastAsia"/>
          <w:lang w:val="en-US" w:eastAsia="zh-CN"/>
        </w:rPr>
        <w:t>3.3投标文件的组成</w:t>
      </w:r>
      <w:r>
        <w:rPr>
          <w:rFonts w:hint="eastAsia"/>
          <w:lang w:val="en-US" w:eastAsia="zh-CN"/>
        </w:rPr>
        <w:tab/>
      </w:r>
      <w:r>
        <w:rPr>
          <w:rFonts w:hint="eastAsia"/>
          <w:lang w:val="en-US" w:eastAsia="zh-CN"/>
        </w:rPr>
        <w:fldChar w:fldCharType="begin"/>
      </w:r>
      <w:r>
        <w:rPr>
          <w:rFonts w:hint="eastAsia"/>
          <w:lang w:val="en-US" w:eastAsia="zh-CN"/>
        </w:rPr>
        <w:instrText xml:space="preserve"> PAGEREF _Toc28396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730F4BA4">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"_Toc4510" </w:instrText>
      </w:r>
      <w:r>
        <w:rPr>
          <w:rFonts w:hint="eastAsia"/>
          <w:lang w:val="en-US" w:eastAsia="zh-CN"/>
        </w:rPr>
        <w:fldChar w:fldCharType="separate"/>
      </w:r>
      <w:r>
        <w:rPr>
          <w:rFonts w:hint="eastAsia"/>
          <w:lang w:val="en-US" w:eastAsia="zh-CN"/>
        </w:rPr>
        <w:t>3.4 投标文件格式</w:t>
      </w:r>
      <w:r>
        <w:rPr>
          <w:rFonts w:hint="eastAsia"/>
          <w:lang w:val="en-US" w:eastAsia="zh-CN"/>
        </w:rPr>
        <w:tab/>
      </w:r>
      <w:r>
        <w:rPr>
          <w:rFonts w:hint="eastAsia"/>
          <w:lang w:val="en-US" w:eastAsia="zh-CN"/>
        </w:rPr>
        <w:fldChar w:fldCharType="begin"/>
      </w:r>
      <w:r>
        <w:rPr>
          <w:rFonts w:hint="eastAsia"/>
          <w:lang w:val="en-US" w:eastAsia="zh-CN"/>
        </w:rPr>
        <w:instrText xml:space="preserve"> PAGEREF _Toc4510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141584F3">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"_Toc12835" </w:instrText>
      </w:r>
      <w:r>
        <w:rPr>
          <w:rFonts w:hint="eastAsia"/>
          <w:lang w:val="en-US" w:eastAsia="zh-CN"/>
        </w:rPr>
        <w:fldChar w:fldCharType="separate"/>
      </w:r>
      <w:r>
        <w:rPr>
          <w:rFonts w:hint="eastAsia"/>
          <w:lang w:val="en-US" w:eastAsia="zh-CN"/>
        </w:rPr>
        <w:t>3.5.投标货币</w:t>
      </w:r>
      <w:r>
        <w:rPr>
          <w:rFonts w:hint="eastAsia"/>
          <w:lang w:val="en-US" w:eastAsia="zh-CN"/>
        </w:rPr>
        <w:tab/>
      </w:r>
      <w:r>
        <w:rPr>
          <w:rFonts w:hint="eastAsia"/>
          <w:lang w:val="en-US" w:eastAsia="zh-CN"/>
        </w:rPr>
        <w:fldChar w:fldCharType="begin"/>
      </w:r>
      <w:r>
        <w:rPr>
          <w:rFonts w:hint="eastAsia"/>
          <w:lang w:val="en-US" w:eastAsia="zh-CN"/>
        </w:rPr>
        <w:instrText xml:space="preserve"> PAGEREF _Toc12835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4B18EA4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"_Toc5233" </w:instrText>
      </w:r>
      <w:r>
        <w:rPr>
          <w:rFonts w:hint="eastAsia"/>
          <w:lang w:val="en-US" w:eastAsia="zh-CN"/>
        </w:rPr>
        <w:fldChar w:fldCharType="separate"/>
      </w:r>
      <w:r>
        <w:rPr>
          <w:rFonts w:hint="eastAsia"/>
          <w:lang w:val="en-US" w:eastAsia="zh-CN"/>
        </w:rPr>
        <w:t>3.6.投标有效期</w:t>
      </w:r>
      <w:r>
        <w:rPr>
          <w:rFonts w:hint="eastAsia"/>
          <w:lang w:val="en-US" w:eastAsia="zh-CN"/>
        </w:rPr>
        <w:tab/>
      </w:r>
      <w:r>
        <w:rPr>
          <w:rFonts w:hint="eastAsia"/>
          <w:lang w:val="en-US" w:eastAsia="zh-CN"/>
        </w:rPr>
        <w:fldChar w:fldCharType="begin"/>
      </w:r>
      <w:r>
        <w:rPr>
          <w:rFonts w:hint="eastAsia"/>
          <w:lang w:val="en-US" w:eastAsia="zh-CN"/>
        </w:rPr>
        <w:instrText xml:space="preserve"> PAGEREF _Toc5233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14:paraId="4CF3BA34">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"_Toc18656" </w:instrText>
      </w:r>
      <w:r>
        <w:rPr>
          <w:rFonts w:hint="eastAsia"/>
          <w:lang w:val="en-US" w:eastAsia="zh-CN"/>
        </w:rPr>
        <w:fldChar w:fldCharType="separate"/>
      </w:r>
      <w:r>
        <w:rPr>
          <w:rFonts w:hint="eastAsia"/>
          <w:lang w:val="en-US" w:eastAsia="zh-CN"/>
        </w:rPr>
        <w:t>4.投标文件的提交</w:t>
      </w:r>
      <w:r>
        <w:rPr>
          <w:rFonts w:hint="eastAsia"/>
          <w:lang w:val="en-US" w:eastAsia="zh-CN"/>
        </w:rPr>
        <w:tab/>
      </w:r>
      <w:r>
        <w:rPr>
          <w:rFonts w:hint="eastAsia"/>
          <w:lang w:val="en-US" w:eastAsia="zh-CN"/>
        </w:rPr>
        <w:fldChar w:fldCharType="begin"/>
      </w:r>
      <w:r>
        <w:rPr>
          <w:rFonts w:hint="eastAsia"/>
          <w:lang w:val="en-US" w:eastAsia="zh-CN"/>
        </w:rPr>
        <w:instrText xml:space="preserve"> PAGEREF _Toc18656 \h </w:instrText>
      </w:r>
      <w:r>
        <w:rPr>
          <w:rFonts w:hint="eastAsia"/>
          <w:lang w:val="en-US" w:eastAsia="zh-CN"/>
        </w:rPr>
        <w:fldChar w:fldCharType="separate"/>
      </w:r>
      <w:r>
        <w:rPr>
          <w:rFonts w:hint="eastAsia"/>
          <w:lang w:val="en-US" w:eastAsia="zh-CN"/>
        </w:rPr>
        <w:t>16</w:t>
      </w:r>
      <w:r>
        <w:rPr>
          <w:rFonts w:hint="eastAsia"/>
          <w:lang w:val="en-US" w:eastAsia="zh-CN"/>
        </w:rPr>
        <w:fldChar w:fldCharType="end"/>
      </w:r>
      <w:r>
        <w:rPr>
          <w:rFonts w:hint="eastAsia"/>
          <w:lang w:val="en-US" w:eastAsia="zh-CN"/>
        </w:rPr>
        <w:fldChar w:fldCharType="end"/>
      </w:r>
    </w:p>
    <w:p w14:paraId="0B949EC2">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"_Toc25784" </w:instrText>
      </w:r>
      <w:r>
        <w:rPr>
          <w:rFonts w:hint="eastAsia"/>
          <w:lang w:val="en-US" w:eastAsia="zh-CN"/>
        </w:rPr>
        <w:fldChar w:fldCharType="separate"/>
      </w:r>
      <w:r>
        <w:rPr>
          <w:rFonts w:hint="eastAsia"/>
          <w:lang w:val="en-US" w:eastAsia="zh-CN"/>
        </w:rPr>
        <w:t>4.1投标文件的密封和标记</w:t>
      </w:r>
      <w:r>
        <w:rPr>
          <w:rFonts w:hint="eastAsia"/>
          <w:lang w:val="en-US" w:eastAsia="zh-CN"/>
        </w:rPr>
        <w:tab/>
      </w:r>
      <w:r>
        <w:rPr>
          <w:rFonts w:hint="eastAsia"/>
          <w:lang w:val="en-US" w:eastAsia="zh-CN"/>
        </w:rPr>
        <w:fldChar w:fldCharType="begin"/>
      </w:r>
      <w:r>
        <w:rPr>
          <w:rFonts w:hint="eastAsia"/>
          <w:lang w:val="en-US" w:eastAsia="zh-CN"/>
        </w:rPr>
        <w:instrText xml:space="preserve"> PAGEREF _Toc25784 \h </w:instrText>
      </w:r>
      <w:r>
        <w:rPr>
          <w:rFonts w:hint="eastAsia"/>
          <w:lang w:val="en-US" w:eastAsia="zh-CN"/>
        </w:rPr>
        <w:fldChar w:fldCharType="separate"/>
      </w:r>
      <w:r>
        <w:rPr>
          <w:rFonts w:hint="eastAsia"/>
          <w:lang w:val="en-US" w:eastAsia="zh-CN"/>
        </w:rPr>
        <w:t>16</w:t>
      </w:r>
      <w:r>
        <w:rPr>
          <w:rFonts w:hint="eastAsia"/>
          <w:lang w:val="en-US" w:eastAsia="zh-CN"/>
        </w:rPr>
        <w:fldChar w:fldCharType="end"/>
      </w:r>
      <w:r>
        <w:rPr>
          <w:rFonts w:hint="eastAsia"/>
          <w:lang w:val="en-US" w:eastAsia="zh-CN"/>
        </w:rPr>
        <w:fldChar w:fldCharType="end"/>
      </w:r>
    </w:p>
    <w:p w14:paraId="4AA9E48E">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"_Toc17458" </w:instrText>
      </w:r>
      <w:r>
        <w:rPr>
          <w:rFonts w:hint="eastAsia"/>
          <w:lang w:val="en-US" w:eastAsia="zh-CN"/>
        </w:rPr>
        <w:fldChar w:fldCharType="separate"/>
      </w:r>
      <w:r>
        <w:rPr>
          <w:rFonts w:hint="eastAsia"/>
          <w:lang w:val="en-US" w:eastAsia="zh-CN"/>
        </w:rPr>
        <w:t>4.2 投标文件的提交</w:t>
      </w:r>
      <w:r>
        <w:rPr>
          <w:rFonts w:hint="eastAsia"/>
          <w:lang w:val="en-US" w:eastAsia="zh-CN"/>
        </w:rPr>
        <w:tab/>
      </w:r>
      <w:r>
        <w:rPr>
          <w:rFonts w:hint="eastAsia"/>
          <w:lang w:val="en-US" w:eastAsia="zh-CN"/>
        </w:rPr>
        <w:fldChar w:fldCharType="begin"/>
      </w:r>
      <w:r>
        <w:rPr>
          <w:rFonts w:hint="eastAsia"/>
          <w:lang w:val="en-US" w:eastAsia="zh-CN"/>
        </w:rPr>
        <w:instrText xml:space="preserve"> PAGEREF _Toc17458 \h </w:instrText>
      </w:r>
      <w:r>
        <w:rPr>
          <w:rFonts w:hint="eastAsia"/>
          <w:lang w:val="en-US" w:eastAsia="zh-CN"/>
        </w:rPr>
        <w:fldChar w:fldCharType="separate"/>
      </w:r>
      <w:r>
        <w:rPr>
          <w:rFonts w:hint="eastAsia"/>
          <w:lang w:val="en-US" w:eastAsia="zh-CN"/>
        </w:rPr>
        <w:t>16</w:t>
      </w:r>
      <w:r>
        <w:rPr>
          <w:rFonts w:hint="eastAsia"/>
          <w:lang w:val="en-US" w:eastAsia="zh-CN"/>
        </w:rPr>
        <w:fldChar w:fldCharType="end"/>
      </w:r>
      <w:r>
        <w:rPr>
          <w:rFonts w:hint="eastAsia"/>
          <w:lang w:val="en-US" w:eastAsia="zh-CN"/>
        </w:rPr>
        <w:fldChar w:fldCharType="end"/>
      </w:r>
    </w:p>
    <w:p w14:paraId="03616A1B">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"_Toc12658" </w:instrText>
      </w:r>
      <w:r>
        <w:rPr>
          <w:rFonts w:hint="eastAsia"/>
          <w:lang w:val="en-US" w:eastAsia="zh-CN"/>
        </w:rPr>
        <w:fldChar w:fldCharType="separate"/>
      </w:r>
      <w:r>
        <w:rPr>
          <w:rFonts w:hint="eastAsia"/>
          <w:lang w:val="en-US" w:eastAsia="zh-CN"/>
        </w:rPr>
        <w:t>4.3投标文件提交的截止时间</w:t>
      </w:r>
      <w:r>
        <w:rPr>
          <w:rFonts w:hint="eastAsia"/>
          <w:lang w:val="en-US" w:eastAsia="zh-CN"/>
        </w:rPr>
        <w:tab/>
      </w:r>
      <w:r>
        <w:rPr>
          <w:rFonts w:hint="eastAsia"/>
          <w:lang w:val="en-US" w:eastAsia="zh-CN"/>
        </w:rPr>
        <w:fldChar w:fldCharType="begin"/>
      </w:r>
      <w:r>
        <w:rPr>
          <w:rFonts w:hint="eastAsia"/>
          <w:lang w:val="en-US" w:eastAsia="zh-CN"/>
        </w:rPr>
        <w:instrText xml:space="preserve"> PAGEREF _Toc12658 \h </w:instrText>
      </w:r>
      <w:r>
        <w:rPr>
          <w:rFonts w:hint="eastAsia"/>
          <w:lang w:val="en-US" w:eastAsia="zh-CN"/>
        </w:rPr>
        <w:fldChar w:fldCharType="separate"/>
      </w:r>
      <w:r>
        <w:rPr>
          <w:rFonts w:hint="eastAsia"/>
          <w:lang w:val="en-US" w:eastAsia="zh-CN"/>
        </w:rPr>
        <w:t>16</w:t>
      </w:r>
      <w:r>
        <w:rPr>
          <w:rFonts w:hint="eastAsia"/>
          <w:lang w:val="en-US" w:eastAsia="zh-CN"/>
        </w:rPr>
        <w:fldChar w:fldCharType="end"/>
      </w:r>
      <w:r>
        <w:rPr>
          <w:rFonts w:hint="eastAsia"/>
          <w:lang w:val="en-US" w:eastAsia="zh-CN"/>
        </w:rPr>
        <w:fldChar w:fldCharType="end"/>
      </w:r>
    </w:p>
    <w:p w14:paraId="46B2BE16">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"_Toc6302" </w:instrText>
      </w:r>
      <w:r>
        <w:rPr>
          <w:rFonts w:hint="eastAsia"/>
          <w:lang w:val="en-US" w:eastAsia="zh-CN"/>
        </w:rPr>
        <w:fldChar w:fldCharType="separate"/>
      </w:r>
      <w:r>
        <w:rPr>
          <w:rFonts w:hint="eastAsia"/>
          <w:lang w:val="en-US" w:eastAsia="zh-CN"/>
        </w:rPr>
        <w:t>4.4 迟交的投标文件</w:t>
      </w:r>
      <w:r>
        <w:rPr>
          <w:rFonts w:hint="eastAsia"/>
          <w:lang w:val="en-US" w:eastAsia="zh-CN"/>
        </w:rPr>
        <w:tab/>
      </w:r>
      <w:r>
        <w:rPr>
          <w:rFonts w:hint="eastAsia"/>
          <w:lang w:val="en-US" w:eastAsia="zh-CN"/>
        </w:rPr>
        <w:fldChar w:fldCharType="begin"/>
      </w:r>
      <w:r>
        <w:rPr>
          <w:rFonts w:hint="eastAsia"/>
          <w:lang w:val="en-US" w:eastAsia="zh-CN"/>
        </w:rPr>
        <w:instrText xml:space="preserve"> PAGEREF _Toc6302 \h </w:instrText>
      </w:r>
      <w:r>
        <w:rPr>
          <w:rFonts w:hint="eastAsia"/>
          <w:lang w:val="en-US" w:eastAsia="zh-CN"/>
        </w:rPr>
        <w:fldChar w:fldCharType="separate"/>
      </w:r>
      <w:r>
        <w:rPr>
          <w:rFonts w:hint="eastAsia"/>
          <w:lang w:val="en-US" w:eastAsia="zh-CN"/>
        </w:rPr>
        <w:t>16</w:t>
      </w:r>
      <w:r>
        <w:rPr>
          <w:rFonts w:hint="eastAsia"/>
          <w:lang w:val="en-US" w:eastAsia="zh-CN"/>
        </w:rPr>
        <w:fldChar w:fldCharType="end"/>
      </w:r>
      <w:r>
        <w:rPr>
          <w:rFonts w:hint="eastAsia"/>
          <w:lang w:val="en-US" w:eastAsia="zh-CN"/>
        </w:rPr>
        <w:fldChar w:fldCharType="end"/>
      </w:r>
    </w:p>
    <w:p w14:paraId="70718BC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"_Toc8324" </w:instrText>
      </w:r>
      <w:r>
        <w:rPr>
          <w:rFonts w:hint="eastAsia"/>
          <w:lang w:val="en-US" w:eastAsia="zh-CN"/>
        </w:rPr>
        <w:fldChar w:fldCharType="separate"/>
      </w:r>
      <w:r>
        <w:rPr>
          <w:rFonts w:hint="eastAsia"/>
          <w:lang w:val="en-US" w:eastAsia="zh-CN"/>
        </w:rPr>
        <w:t>4.5 投标文件的修改和撤回</w:t>
      </w:r>
      <w:r>
        <w:rPr>
          <w:rFonts w:hint="eastAsia"/>
          <w:lang w:val="en-US" w:eastAsia="zh-CN"/>
        </w:rPr>
        <w:tab/>
      </w:r>
      <w:r>
        <w:rPr>
          <w:rFonts w:hint="eastAsia"/>
          <w:lang w:val="en-US" w:eastAsia="zh-CN"/>
        </w:rPr>
        <w:fldChar w:fldCharType="begin"/>
      </w:r>
      <w:r>
        <w:rPr>
          <w:rFonts w:hint="eastAsia"/>
          <w:lang w:val="en-US" w:eastAsia="zh-CN"/>
        </w:rPr>
        <w:instrText xml:space="preserve"> PAGEREF _Toc8324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0BEAB566">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"_Toc12804" </w:instrText>
      </w:r>
      <w:r>
        <w:rPr>
          <w:rFonts w:hint="eastAsia"/>
          <w:lang w:val="en-US" w:eastAsia="zh-CN"/>
        </w:rPr>
        <w:fldChar w:fldCharType="separate"/>
      </w:r>
      <w:r>
        <w:rPr>
          <w:rFonts w:hint="eastAsia"/>
          <w:lang w:val="en-US" w:eastAsia="zh-CN"/>
        </w:rPr>
        <w:t>5.  开标</w:t>
      </w:r>
      <w:r>
        <w:rPr>
          <w:rFonts w:hint="eastAsia"/>
          <w:lang w:val="en-US" w:eastAsia="zh-CN"/>
        </w:rPr>
        <w:tab/>
      </w:r>
      <w:r>
        <w:rPr>
          <w:rFonts w:hint="eastAsia"/>
          <w:lang w:val="en-US" w:eastAsia="zh-CN"/>
        </w:rPr>
        <w:fldChar w:fldCharType="begin"/>
      </w:r>
      <w:r>
        <w:rPr>
          <w:rFonts w:hint="eastAsia"/>
          <w:lang w:val="en-US" w:eastAsia="zh-CN"/>
        </w:rPr>
        <w:instrText xml:space="preserve"> PAGEREF _Toc12804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5172A986">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"_Toc7579" </w:instrText>
      </w:r>
      <w:r>
        <w:rPr>
          <w:rFonts w:hint="eastAsia"/>
          <w:lang w:val="en-US" w:eastAsia="zh-CN"/>
        </w:rPr>
        <w:fldChar w:fldCharType="separate"/>
      </w:r>
      <w:r>
        <w:rPr>
          <w:rFonts w:hint="eastAsia"/>
          <w:lang w:val="en-US" w:eastAsia="zh-CN"/>
        </w:rPr>
        <w:t>5.1 开标时间及地点</w:t>
      </w:r>
      <w:r>
        <w:rPr>
          <w:rFonts w:hint="eastAsia"/>
          <w:lang w:val="en-US" w:eastAsia="zh-CN"/>
        </w:rPr>
        <w:tab/>
      </w:r>
      <w:r>
        <w:rPr>
          <w:rFonts w:hint="eastAsia"/>
          <w:lang w:val="en-US" w:eastAsia="zh-CN"/>
        </w:rPr>
        <w:fldChar w:fldCharType="begin"/>
      </w:r>
      <w:r>
        <w:rPr>
          <w:rFonts w:hint="eastAsia"/>
          <w:lang w:val="en-US" w:eastAsia="zh-CN"/>
        </w:rPr>
        <w:instrText xml:space="preserve"> PAGEREF _Toc7579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16007E2E">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"_Toc26498" </w:instrText>
      </w:r>
      <w:r>
        <w:rPr>
          <w:rFonts w:hint="eastAsia"/>
          <w:lang w:val="en-US" w:eastAsia="zh-CN"/>
        </w:rPr>
        <w:fldChar w:fldCharType="separate"/>
      </w:r>
      <w:r>
        <w:rPr>
          <w:rFonts w:hint="eastAsia"/>
          <w:lang w:val="en-US" w:eastAsia="zh-CN"/>
        </w:rPr>
        <w:t>5.2开标程序</w:t>
      </w:r>
      <w:r>
        <w:rPr>
          <w:rFonts w:hint="eastAsia"/>
          <w:lang w:val="en-US" w:eastAsia="zh-CN"/>
        </w:rPr>
        <w:tab/>
      </w:r>
      <w:r>
        <w:rPr>
          <w:rFonts w:hint="eastAsia"/>
          <w:lang w:val="en-US" w:eastAsia="zh-CN"/>
        </w:rPr>
        <w:fldChar w:fldCharType="begin"/>
      </w:r>
      <w:r>
        <w:rPr>
          <w:rFonts w:hint="eastAsia"/>
          <w:lang w:val="en-US" w:eastAsia="zh-CN"/>
        </w:rPr>
        <w:instrText xml:space="preserve"> PAGEREF _Toc26498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7F255A3B">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"_Toc23800" </w:instrText>
      </w:r>
      <w:r>
        <w:rPr>
          <w:rFonts w:hint="eastAsia"/>
          <w:lang w:val="en-US" w:eastAsia="zh-CN"/>
        </w:rPr>
        <w:fldChar w:fldCharType="separate"/>
      </w:r>
      <w:r>
        <w:rPr>
          <w:rFonts w:hint="eastAsia"/>
          <w:lang w:val="en-US" w:eastAsia="zh-CN"/>
        </w:rPr>
        <w:t>6. 评标</w:t>
      </w:r>
      <w:r>
        <w:rPr>
          <w:rFonts w:hint="eastAsia"/>
          <w:lang w:val="en-US" w:eastAsia="zh-CN"/>
        </w:rPr>
        <w:tab/>
      </w:r>
      <w:r>
        <w:rPr>
          <w:rFonts w:hint="eastAsia"/>
          <w:lang w:val="en-US" w:eastAsia="zh-CN"/>
        </w:rPr>
        <w:fldChar w:fldCharType="begin"/>
      </w:r>
      <w:r>
        <w:rPr>
          <w:rFonts w:hint="eastAsia"/>
          <w:lang w:val="en-US" w:eastAsia="zh-CN"/>
        </w:rPr>
        <w:instrText xml:space="preserve"> PAGEREF _Toc23800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5CBCAFB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"_Toc6585" </w:instrText>
      </w:r>
      <w:r>
        <w:rPr>
          <w:rFonts w:hint="eastAsia"/>
          <w:lang w:val="en-US" w:eastAsia="zh-CN"/>
        </w:rPr>
        <w:fldChar w:fldCharType="separate"/>
      </w:r>
      <w:r>
        <w:rPr>
          <w:rFonts w:hint="eastAsia"/>
          <w:lang w:val="en-US" w:eastAsia="zh-CN"/>
        </w:rPr>
        <w:t>6.1 评标委员会</w:t>
      </w:r>
      <w:r>
        <w:rPr>
          <w:rFonts w:hint="eastAsia"/>
          <w:lang w:val="en-US" w:eastAsia="zh-CN"/>
        </w:rPr>
        <w:tab/>
      </w:r>
      <w:r>
        <w:rPr>
          <w:rFonts w:hint="eastAsia"/>
          <w:lang w:val="en-US" w:eastAsia="zh-CN"/>
        </w:rPr>
        <w:fldChar w:fldCharType="begin"/>
      </w:r>
      <w:r>
        <w:rPr>
          <w:rFonts w:hint="eastAsia"/>
          <w:lang w:val="en-US" w:eastAsia="zh-CN"/>
        </w:rPr>
        <w:instrText xml:space="preserve"> PAGEREF _Toc6585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5D78185E">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"_Toc13688" </w:instrText>
      </w:r>
      <w:r>
        <w:rPr>
          <w:rFonts w:hint="eastAsia"/>
          <w:lang w:val="en-US" w:eastAsia="zh-CN"/>
        </w:rPr>
        <w:fldChar w:fldCharType="separate"/>
      </w:r>
      <w:r>
        <w:rPr>
          <w:rFonts w:hint="eastAsia"/>
          <w:lang w:val="en-US" w:eastAsia="zh-CN"/>
        </w:rPr>
        <w:t>6.2 评标原则</w:t>
      </w:r>
      <w:r>
        <w:rPr>
          <w:rFonts w:hint="eastAsia"/>
          <w:lang w:val="en-US" w:eastAsia="zh-CN"/>
        </w:rPr>
        <w:tab/>
      </w:r>
      <w:r>
        <w:rPr>
          <w:rFonts w:hint="eastAsia"/>
          <w:lang w:val="en-US" w:eastAsia="zh-CN"/>
        </w:rPr>
        <w:fldChar w:fldCharType="begin"/>
      </w:r>
      <w:r>
        <w:rPr>
          <w:rFonts w:hint="eastAsia"/>
          <w:lang w:val="en-US" w:eastAsia="zh-CN"/>
        </w:rPr>
        <w:instrText xml:space="preserve"> PAGEREF _Toc13688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69733C8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"_Toc4963" </w:instrText>
      </w:r>
      <w:r>
        <w:rPr>
          <w:rFonts w:hint="eastAsia"/>
          <w:lang w:val="en-US" w:eastAsia="zh-CN"/>
        </w:rPr>
        <w:fldChar w:fldCharType="separate"/>
      </w:r>
      <w:r>
        <w:rPr>
          <w:rFonts w:hint="eastAsia"/>
          <w:lang w:val="en-US" w:eastAsia="zh-CN"/>
        </w:rPr>
        <w:t>6.3 评标方法</w:t>
      </w:r>
      <w:r>
        <w:rPr>
          <w:rFonts w:hint="eastAsia"/>
          <w:lang w:val="en-US" w:eastAsia="zh-CN"/>
        </w:rPr>
        <w:tab/>
      </w:r>
      <w:r>
        <w:rPr>
          <w:rFonts w:hint="eastAsia"/>
          <w:lang w:val="en-US" w:eastAsia="zh-CN"/>
        </w:rPr>
        <w:fldChar w:fldCharType="begin"/>
      </w:r>
      <w:r>
        <w:rPr>
          <w:rFonts w:hint="eastAsia"/>
          <w:lang w:val="en-US" w:eastAsia="zh-CN"/>
        </w:rPr>
        <w:instrText xml:space="preserve"> PAGEREF _Toc4963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0F89999A">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"_Toc7580" </w:instrText>
      </w:r>
      <w:r>
        <w:rPr>
          <w:rFonts w:hint="eastAsia"/>
          <w:lang w:val="en-US" w:eastAsia="zh-CN"/>
        </w:rPr>
        <w:fldChar w:fldCharType="separate"/>
      </w:r>
      <w:r>
        <w:rPr>
          <w:rFonts w:hint="eastAsia"/>
          <w:lang w:val="en-US" w:eastAsia="zh-CN"/>
        </w:rPr>
        <w:t>6.4 投标文件的有效性</w:t>
      </w:r>
      <w:r>
        <w:rPr>
          <w:rFonts w:hint="eastAsia"/>
          <w:lang w:val="en-US" w:eastAsia="zh-CN"/>
        </w:rPr>
        <w:tab/>
      </w:r>
      <w:r>
        <w:rPr>
          <w:rFonts w:hint="eastAsia"/>
          <w:lang w:val="en-US" w:eastAsia="zh-CN"/>
        </w:rPr>
        <w:fldChar w:fldCharType="begin"/>
      </w:r>
      <w:r>
        <w:rPr>
          <w:rFonts w:hint="eastAsia"/>
          <w:lang w:val="en-US" w:eastAsia="zh-CN"/>
        </w:rPr>
        <w:instrText xml:space="preserve"> PAGEREF _Toc7580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14:paraId="5AFFE4CB">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"_Toc11443" </w:instrText>
      </w:r>
      <w:r>
        <w:rPr>
          <w:rFonts w:hint="eastAsia"/>
          <w:lang w:val="en-US" w:eastAsia="zh-CN"/>
        </w:rPr>
        <w:fldChar w:fldCharType="separate"/>
      </w:r>
      <w:r>
        <w:rPr>
          <w:rFonts w:hint="eastAsia"/>
          <w:lang w:val="en-US" w:eastAsia="zh-CN"/>
        </w:rPr>
        <w:t>6.5 投标文件的澄清</w:t>
      </w:r>
      <w:r>
        <w:rPr>
          <w:rFonts w:hint="eastAsia"/>
          <w:lang w:val="en-US" w:eastAsia="zh-CN"/>
        </w:rPr>
        <w:tab/>
      </w:r>
      <w:r>
        <w:rPr>
          <w:rFonts w:hint="eastAsia"/>
          <w:lang w:val="en-US" w:eastAsia="zh-CN"/>
        </w:rPr>
        <w:fldChar w:fldCharType="begin"/>
      </w:r>
      <w:r>
        <w:rPr>
          <w:rFonts w:hint="eastAsia"/>
          <w:lang w:val="en-US" w:eastAsia="zh-CN"/>
        </w:rPr>
        <w:instrText xml:space="preserve"> PAGEREF _Toc11443 \h </w:instrText>
      </w:r>
      <w:r>
        <w:rPr>
          <w:rFonts w:hint="eastAsia"/>
          <w:lang w:val="en-US" w:eastAsia="zh-CN"/>
        </w:rPr>
        <w:fldChar w:fldCharType="separate"/>
      </w:r>
      <w:r>
        <w:rPr>
          <w:rFonts w:hint="eastAsia"/>
          <w:lang w:val="en-US" w:eastAsia="zh-CN"/>
        </w:rPr>
        <w:t>18</w:t>
      </w:r>
      <w:r>
        <w:rPr>
          <w:rFonts w:hint="eastAsia"/>
          <w:lang w:val="en-US" w:eastAsia="zh-CN"/>
        </w:rPr>
        <w:fldChar w:fldCharType="end"/>
      </w:r>
      <w:r>
        <w:rPr>
          <w:rFonts w:hint="eastAsia"/>
          <w:lang w:val="en-US" w:eastAsia="zh-CN"/>
        </w:rPr>
        <w:fldChar w:fldCharType="end"/>
      </w:r>
    </w:p>
    <w:p w14:paraId="459DAF32">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"_Toc26908" </w:instrText>
      </w:r>
      <w:r>
        <w:rPr>
          <w:rFonts w:hint="eastAsia"/>
          <w:lang w:val="en-US" w:eastAsia="zh-CN"/>
        </w:rPr>
        <w:fldChar w:fldCharType="separate"/>
      </w:r>
      <w:r>
        <w:rPr>
          <w:rFonts w:hint="eastAsia"/>
          <w:lang w:val="en-US" w:eastAsia="zh-CN"/>
        </w:rPr>
        <w:t>6.6 投标文件的初步评审</w:t>
      </w:r>
      <w:r>
        <w:rPr>
          <w:rFonts w:hint="eastAsia"/>
          <w:lang w:val="en-US" w:eastAsia="zh-CN"/>
        </w:rPr>
        <w:tab/>
      </w:r>
      <w:r>
        <w:rPr>
          <w:rFonts w:hint="eastAsia"/>
          <w:lang w:val="en-US" w:eastAsia="zh-CN"/>
        </w:rPr>
        <w:fldChar w:fldCharType="begin"/>
      </w:r>
      <w:r>
        <w:rPr>
          <w:rFonts w:hint="eastAsia"/>
          <w:lang w:val="en-US" w:eastAsia="zh-CN"/>
        </w:rPr>
        <w:instrText xml:space="preserve"> PAGEREF _Toc26908 \h </w:instrText>
      </w:r>
      <w:r>
        <w:rPr>
          <w:rFonts w:hint="eastAsia"/>
          <w:lang w:val="en-US" w:eastAsia="zh-CN"/>
        </w:rPr>
        <w:fldChar w:fldCharType="separate"/>
      </w:r>
      <w:r>
        <w:rPr>
          <w:rFonts w:hint="eastAsia"/>
          <w:lang w:val="en-US" w:eastAsia="zh-CN"/>
        </w:rPr>
        <w:t>18</w:t>
      </w:r>
      <w:r>
        <w:rPr>
          <w:rFonts w:hint="eastAsia"/>
          <w:lang w:val="en-US" w:eastAsia="zh-CN"/>
        </w:rPr>
        <w:fldChar w:fldCharType="end"/>
      </w:r>
      <w:r>
        <w:rPr>
          <w:rFonts w:hint="eastAsia"/>
          <w:lang w:val="en-US" w:eastAsia="zh-CN"/>
        </w:rPr>
        <w:fldChar w:fldCharType="end"/>
      </w:r>
    </w:p>
    <w:p w14:paraId="53578D7A">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"_Toc24065" </w:instrText>
      </w:r>
      <w:r>
        <w:rPr>
          <w:rFonts w:hint="eastAsia"/>
          <w:lang w:val="en-US" w:eastAsia="zh-CN"/>
        </w:rPr>
        <w:fldChar w:fldCharType="separate"/>
      </w:r>
      <w:r>
        <w:rPr>
          <w:rFonts w:hint="eastAsia"/>
          <w:lang w:val="en-US" w:eastAsia="zh-CN"/>
        </w:rPr>
        <w:t>6.7 投标文件的详细评审</w:t>
      </w:r>
      <w:r>
        <w:rPr>
          <w:rFonts w:hint="eastAsia"/>
          <w:lang w:val="en-US" w:eastAsia="zh-CN"/>
        </w:rPr>
        <w:tab/>
      </w:r>
      <w:r>
        <w:rPr>
          <w:rFonts w:hint="eastAsia"/>
          <w:lang w:val="en-US" w:eastAsia="zh-CN"/>
        </w:rPr>
        <w:fldChar w:fldCharType="begin"/>
      </w:r>
      <w:r>
        <w:rPr>
          <w:rFonts w:hint="eastAsia"/>
          <w:lang w:val="en-US" w:eastAsia="zh-CN"/>
        </w:rPr>
        <w:instrText xml:space="preserve"> PAGEREF _Toc24065 \h </w:instrText>
      </w:r>
      <w:r>
        <w:rPr>
          <w:rFonts w:hint="eastAsia"/>
          <w:lang w:val="en-US" w:eastAsia="zh-CN"/>
        </w:rPr>
        <w:fldChar w:fldCharType="separate"/>
      </w:r>
      <w:r>
        <w:rPr>
          <w:rFonts w:hint="eastAsia"/>
          <w:lang w:val="en-US" w:eastAsia="zh-CN"/>
        </w:rPr>
        <w:t>18</w:t>
      </w:r>
      <w:r>
        <w:rPr>
          <w:rFonts w:hint="eastAsia"/>
          <w:lang w:val="en-US" w:eastAsia="zh-CN"/>
        </w:rPr>
        <w:fldChar w:fldCharType="end"/>
      </w:r>
      <w:r>
        <w:rPr>
          <w:rFonts w:hint="eastAsia"/>
          <w:lang w:val="en-US" w:eastAsia="zh-CN"/>
        </w:rPr>
        <w:fldChar w:fldCharType="end"/>
      </w:r>
    </w:p>
    <w:p w14:paraId="50191F20">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"_Toc2914" </w:instrText>
      </w:r>
      <w:r>
        <w:rPr>
          <w:rFonts w:hint="eastAsia"/>
          <w:lang w:val="en-US" w:eastAsia="zh-CN"/>
        </w:rPr>
        <w:fldChar w:fldCharType="separate"/>
      </w:r>
      <w:r>
        <w:rPr>
          <w:rFonts w:hint="eastAsia"/>
          <w:lang w:val="en-US" w:eastAsia="zh-CN"/>
        </w:rPr>
        <w:t>6.8 中标人的确定</w:t>
      </w:r>
      <w:r>
        <w:rPr>
          <w:rFonts w:hint="eastAsia"/>
          <w:lang w:val="en-US" w:eastAsia="zh-CN"/>
        </w:rPr>
        <w:tab/>
      </w:r>
      <w:r>
        <w:rPr>
          <w:rFonts w:hint="eastAsia"/>
          <w:lang w:val="en-US" w:eastAsia="zh-CN"/>
        </w:rPr>
        <w:fldChar w:fldCharType="begin"/>
      </w:r>
      <w:r>
        <w:rPr>
          <w:rFonts w:hint="eastAsia"/>
          <w:lang w:val="en-US" w:eastAsia="zh-CN"/>
        </w:rPr>
        <w:instrText xml:space="preserve"> PAGEREF _Toc2914 \h </w:instrText>
      </w:r>
      <w:r>
        <w:rPr>
          <w:rFonts w:hint="eastAsia"/>
          <w:lang w:val="en-US" w:eastAsia="zh-CN"/>
        </w:rPr>
        <w:fldChar w:fldCharType="separate"/>
      </w:r>
      <w:r>
        <w:rPr>
          <w:rFonts w:hint="eastAsia"/>
          <w:lang w:val="en-US" w:eastAsia="zh-CN"/>
        </w:rPr>
        <w:t>18</w:t>
      </w:r>
      <w:r>
        <w:rPr>
          <w:rFonts w:hint="eastAsia"/>
          <w:lang w:val="en-US" w:eastAsia="zh-CN"/>
        </w:rPr>
        <w:fldChar w:fldCharType="end"/>
      </w:r>
      <w:r>
        <w:rPr>
          <w:rFonts w:hint="eastAsia"/>
          <w:lang w:val="en-US" w:eastAsia="zh-CN"/>
        </w:rPr>
        <w:fldChar w:fldCharType="end"/>
      </w:r>
    </w:p>
    <w:p w14:paraId="46801F77">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"_Toc32702" </w:instrText>
      </w:r>
      <w:r>
        <w:rPr>
          <w:rFonts w:hint="eastAsia"/>
          <w:lang w:val="en-US" w:eastAsia="zh-CN"/>
        </w:rPr>
        <w:fldChar w:fldCharType="separate"/>
      </w:r>
      <w:r>
        <w:rPr>
          <w:rFonts w:hint="eastAsia"/>
          <w:lang w:val="en-US" w:eastAsia="zh-CN"/>
        </w:rPr>
        <w:t>7. 合同的授予</w:t>
      </w:r>
      <w:r>
        <w:rPr>
          <w:rFonts w:hint="eastAsia"/>
          <w:lang w:val="en-US" w:eastAsia="zh-CN"/>
        </w:rPr>
        <w:tab/>
      </w:r>
      <w:r>
        <w:rPr>
          <w:rFonts w:hint="eastAsia"/>
          <w:lang w:val="en-US" w:eastAsia="zh-CN"/>
        </w:rPr>
        <w:fldChar w:fldCharType="begin"/>
      </w:r>
      <w:r>
        <w:rPr>
          <w:rFonts w:hint="eastAsia"/>
          <w:lang w:val="en-US" w:eastAsia="zh-CN"/>
        </w:rPr>
        <w:instrText xml:space="preserve"> PAGEREF _Toc32702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59F0BA2E">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"_Toc2848" </w:instrText>
      </w:r>
      <w:r>
        <w:rPr>
          <w:rFonts w:hint="eastAsia"/>
          <w:lang w:val="en-US" w:eastAsia="zh-CN"/>
        </w:rPr>
        <w:fldChar w:fldCharType="separate"/>
      </w:r>
      <w:r>
        <w:rPr>
          <w:rFonts w:hint="eastAsia"/>
          <w:lang w:val="en-US" w:eastAsia="zh-CN"/>
        </w:rPr>
        <w:t>7.1 授予合同</w:t>
      </w:r>
      <w:r>
        <w:rPr>
          <w:rFonts w:hint="eastAsia"/>
          <w:lang w:val="en-US" w:eastAsia="zh-CN"/>
        </w:rPr>
        <w:tab/>
      </w:r>
      <w:r>
        <w:rPr>
          <w:rFonts w:hint="eastAsia"/>
          <w:lang w:val="en-US" w:eastAsia="zh-CN"/>
        </w:rPr>
        <w:fldChar w:fldCharType="begin"/>
      </w:r>
      <w:r>
        <w:rPr>
          <w:rFonts w:hint="eastAsia"/>
          <w:lang w:val="en-US" w:eastAsia="zh-CN"/>
        </w:rPr>
        <w:instrText xml:space="preserve"> PAGEREF _Toc2848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59BD6468">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"_Toc21965" </w:instrText>
      </w:r>
      <w:r>
        <w:rPr>
          <w:rFonts w:hint="eastAsia"/>
          <w:lang w:val="en-US" w:eastAsia="zh-CN"/>
        </w:rPr>
        <w:fldChar w:fldCharType="separate"/>
      </w:r>
      <w:r>
        <w:rPr>
          <w:rFonts w:hint="eastAsia"/>
          <w:lang w:val="en-US" w:eastAsia="zh-CN"/>
        </w:rPr>
        <w:t>7.2 中标通知书</w:t>
      </w:r>
      <w:r>
        <w:rPr>
          <w:rFonts w:hint="eastAsia"/>
          <w:lang w:val="en-US" w:eastAsia="zh-CN"/>
        </w:rPr>
        <w:tab/>
      </w:r>
      <w:r>
        <w:rPr>
          <w:rFonts w:hint="eastAsia"/>
          <w:lang w:val="en-US" w:eastAsia="zh-CN"/>
        </w:rPr>
        <w:fldChar w:fldCharType="begin"/>
      </w:r>
      <w:r>
        <w:rPr>
          <w:rFonts w:hint="eastAsia"/>
          <w:lang w:val="en-US" w:eastAsia="zh-CN"/>
        </w:rPr>
        <w:instrText xml:space="preserve"> PAGEREF _Toc21965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6E2E19F3">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"_Toc31929" </w:instrText>
      </w:r>
      <w:r>
        <w:rPr>
          <w:rFonts w:hint="eastAsia"/>
          <w:lang w:val="en-US" w:eastAsia="zh-CN"/>
        </w:rPr>
        <w:fldChar w:fldCharType="separate"/>
      </w:r>
      <w:r>
        <w:rPr>
          <w:rFonts w:hint="eastAsia"/>
          <w:lang w:val="en-US" w:eastAsia="zh-CN"/>
        </w:rPr>
        <w:t>7.3合同签订</w:t>
      </w:r>
      <w:r>
        <w:rPr>
          <w:rFonts w:hint="eastAsia"/>
          <w:lang w:val="en-US" w:eastAsia="zh-CN"/>
        </w:rPr>
        <w:tab/>
      </w:r>
      <w:r>
        <w:rPr>
          <w:rFonts w:hint="eastAsia"/>
          <w:lang w:val="en-US" w:eastAsia="zh-CN"/>
        </w:rPr>
        <w:fldChar w:fldCharType="begin"/>
      </w:r>
      <w:r>
        <w:rPr>
          <w:rFonts w:hint="eastAsia"/>
          <w:lang w:val="en-US" w:eastAsia="zh-CN"/>
        </w:rPr>
        <w:instrText xml:space="preserve"> PAGEREF _Toc31929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1E56DC91">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"_Toc19151" </w:instrText>
      </w:r>
      <w:r>
        <w:rPr>
          <w:rFonts w:hint="eastAsia"/>
          <w:lang w:val="en-US" w:eastAsia="zh-CN"/>
        </w:rPr>
        <w:fldChar w:fldCharType="separate"/>
      </w:r>
      <w:r>
        <w:rPr>
          <w:rFonts w:hint="eastAsia"/>
          <w:lang w:val="en-US" w:eastAsia="zh-CN"/>
        </w:rPr>
        <w:t>8. 纪律和监督</w:t>
      </w:r>
      <w:r>
        <w:rPr>
          <w:rFonts w:hint="eastAsia"/>
          <w:lang w:val="en-US" w:eastAsia="zh-CN"/>
        </w:rPr>
        <w:tab/>
      </w:r>
      <w:r>
        <w:rPr>
          <w:rFonts w:hint="eastAsia"/>
          <w:lang w:val="en-US" w:eastAsia="zh-CN"/>
        </w:rPr>
        <w:fldChar w:fldCharType="begin"/>
      </w:r>
      <w:r>
        <w:rPr>
          <w:rFonts w:hint="eastAsia"/>
          <w:lang w:val="en-US" w:eastAsia="zh-CN"/>
        </w:rPr>
        <w:instrText xml:space="preserve"> PAGEREF _Toc19151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594047C9">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"_Toc20718" </w:instrText>
      </w:r>
      <w:r>
        <w:rPr>
          <w:rFonts w:hint="eastAsia"/>
          <w:lang w:val="en-US" w:eastAsia="zh-CN"/>
        </w:rPr>
        <w:fldChar w:fldCharType="separate"/>
      </w:r>
      <w:r>
        <w:rPr>
          <w:rFonts w:hint="eastAsia"/>
          <w:lang w:val="en-US" w:eastAsia="zh-CN"/>
        </w:rPr>
        <w:t>8.1 对招标人的纪律要求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_Toc20718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1DBDBC3C">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"_Toc662" </w:instrText>
      </w:r>
      <w:r>
        <w:rPr>
          <w:rFonts w:hint="eastAsia"/>
          <w:lang w:val="en-US" w:eastAsia="zh-CN"/>
        </w:rPr>
        <w:fldChar w:fldCharType="separate"/>
      </w:r>
      <w:r>
        <w:rPr>
          <w:rFonts w:hint="eastAsia"/>
          <w:lang w:val="en-US" w:eastAsia="zh-CN"/>
        </w:rPr>
        <w:t>8.2 对投标人的纪律要求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_Toc662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744FECF7">
      <w:pPr>
        <w:pStyle w:val="39"/>
        <w:tabs>
          <w:tab w:val="right" w:leader="dot" w:pos="9185"/>
        </w:tabs>
        <w:rPr>
          <w:rFonts w:hint="eastAsia"/>
          <w:lang w:val="en-US" w:eastAsia="zh-CN"/>
        </w:rPr>
      </w:pPr>
      <w:r>
        <w:rPr>
          <w:rFonts w:hint="eastAsia"/>
          <w:lang w:val="en-US" w:eastAsia="zh-CN"/>
        </w:rPr>
        <w:fldChar w:fldCharType="begin"/>
      </w:r>
      <w:r>
        <w:rPr>
          <w:rFonts w:hint="eastAsia"/>
          <w:lang w:val="en-US" w:eastAsia="zh-CN"/>
        </w:rPr>
        <w:instrText xml:space="preserve"> HYPERLINK \l "_Toc8703" </w:instrText>
      </w:r>
      <w:r>
        <w:rPr>
          <w:rFonts w:hint="eastAsia"/>
          <w:lang w:val="en-US" w:eastAsia="zh-CN"/>
        </w:rPr>
        <w:fldChar w:fldCharType="separate"/>
      </w:r>
      <w:r>
        <w:rPr>
          <w:rFonts w:hint="eastAsia"/>
          <w:lang w:val="en-US" w:eastAsia="zh-CN"/>
        </w:rPr>
        <w:t>8.3 对评标委员会成员的纪律要求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_Toc8703 \h </w:instrText>
      </w:r>
      <w:r>
        <w:rPr>
          <w:rFonts w:hint="eastAsia"/>
          <w:lang w:val="en-US" w:eastAsia="zh-CN"/>
        </w:rPr>
        <w:fldChar w:fldCharType="separate"/>
      </w:r>
      <w:r>
        <w:rPr>
          <w:rFonts w:hint="eastAsia"/>
          <w:lang w:val="en-US" w:eastAsia="zh-CN"/>
        </w:rPr>
        <w:t>19</w:t>
      </w:r>
      <w:r>
        <w:rPr>
          <w:rFonts w:hint="eastAsia"/>
          <w:lang w:val="en-US" w:eastAsia="zh-CN"/>
        </w:rPr>
        <w:fldChar w:fldCharType="end"/>
      </w:r>
      <w:r>
        <w:rPr>
          <w:rFonts w:hint="eastAsia"/>
          <w:lang w:val="en-US" w:eastAsia="zh-CN"/>
        </w:rPr>
        <w:fldChar w:fldCharType="end"/>
      </w:r>
    </w:p>
    <w:p w14:paraId="4B2BF4C0">
      <w:pPr>
        <w:pStyle w:val="39"/>
        <w:tabs>
          <w:tab w:val="right" w:leader="dot" w:pos="9185"/>
        </w:tabs>
        <w:rPr>
          <w:rFonts w:hint="default"/>
          <w:lang w:val="en-US" w:eastAsia="zh-CN"/>
        </w:rPr>
      </w:pPr>
      <w:r>
        <w:rPr>
          <w:rFonts w:hint="eastAsia"/>
          <w:lang w:val="en-US" w:eastAsia="zh-CN"/>
        </w:rPr>
        <w:fldChar w:fldCharType="begin"/>
      </w:r>
      <w:r>
        <w:rPr>
          <w:rFonts w:hint="eastAsia"/>
          <w:lang w:val="en-US" w:eastAsia="zh-CN"/>
        </w:rPr>
        <w:instrText xml:space="preserve"> HYPERLINK \l "_Toc25942" </w:instrText>
      </w:r>
      <w:r>
        <w:rPr>
          <w:rFonts w:hint="eastAsia"/>
          <w:lang w:val="en-US" w:eastAsia="zh-CN"/>
        </w:rPr>
        <w:fldChar w:fldCharType="separate"/>
      </w:r>
      <w:r>
        <w:rPr>
          <w:rFonts w:hint="eastAsia"/>
          <w:lang w:val="en-US" w:eastAsia="zh-CN"/>
        </w:rPr>
        <w:t>8.4 对与评标活动有关的工作人员的纪律要求</w:t>
      </w:r>
      <w:r>
        <w:rPr>
          <w:rFonts w:hint="eastAsia"/>
          <w:lang w:val="en-US" w:eastAsia="zh-CN"/>
        </w:rPr>
        <w:tab/>
      </w:r>
      <w:r>
        <w:rPr>
          <w:rFonts w:hint="eastAsia"/>
          <w:lang w:val="en-US" w:eastAsia="zh-CN"/>
        </w:rPr>
        <w:t>2</w:t>
      </w:r>
      <w:r>
        <w:rPr>
          <w:rFonts w:hint="eastAsia"/>
          <w:lang w:val="en-US" w:eastAsia="zh-CN"/>
        </w:rPr>
        <w:fldChar w:fldCharType="end"/>
      </w:r>
      <w:r>
        <w:rPr>
          <w:rFonts w:hint="eastAsia"/>
          <w:lang w:val="en-US" w:eastAsia="zh-CN"/>
        </w:rPr>
        <w:t>0</w:t>
      </w:r>
    </w:p>
    <w:p w14:paraId="34120557">
      <w:pPr>
        <w:pStyle w:val="39"/>
        <w:tabs>
          <w:tab w:val="right" w:leader="dot" w:pos="9185"/>
        </w:tabs>
        <w:rPr>
          <w:rFonts w:hint="default"/>
          <w:lang w:val="en-US"/>
        </w:rPr>
      </w:pPr>
      <w:r>
        <w:rPr>
          <w:rFonts w:hint="eastAsia"/>
          <w:lang w:val="en-US" w:eastAsia="zh-CN"/>
        </w:rPr>
        <w:fldChar w:fldCharType="begin"/>
      </w:r>
      <w:r>
        <w:rPr>
          <w:rFonts w:hint="eastAsia"/>
          <w:lang w:val="en-US" w:eastAsia="zh-CN"/>
        </w:rPr>
        <w:instrText xml:space="preserve"> HYPERLINK \l "_Toc14991" </w:instrText>
      </w:r>
      <w:r>
        <w:rPr>
          <w:rFonts w:hint="eastAsia"/>
          <w:lang w:val="en-US" w:eastAsia="zh-CN"/>
        </w:rPr>
        <w:fldChar w:fldCharType="separate"/>
      </w:r>
      <w:r>
        <w:rPr>
          <w:rFonts w:hint="eastAsia"/>
          <w:lang w:val="en-US" w:eastAsia="zh-CN"/>
        </w:rPr>
        <w:t>8.5 投诉</w:t>
      </w:r>
      <w:r>
        <w:rPr>
          <w:rFonts w:hint="eastAsia"/>
          <w:lang w:val="en-US" w:eastAsia="zh-CN"/>
        </w:rPr>
        <w:tab/>
      </w:r>
      <w:r>
        <w:rPr>
          <w:rFonts w:hint="eastAsia"/>
          <w:lang w:val="en-US" w:eastAsia="zh-CN"/>
        </w:rPr>
        <w:t>2</w:t>
      </w:r>
      <w:r>
        <w:rPr>
          <w:rFonts w:hint="eastAsia"/>
          <w:lang w:val="en-US" w:eastAsia="zh-CN"/>
        </w:rPr>
        <w:fldChar w:fldCharType="end"/>
      </w:r>
      <w:r>
        <w:rPr>
          <w:rFonts w:hint="eastAsia"/>
          <w:lang w:val="en-US" w:eastAsia="zh-CN"/>
        </w:rPr>
        <w:t>0</w:t>
      </w:r>
    </w:p>
    <w:p w14:paraId="1009B2BD">
      <w:pPr>
        <w:pStyle w:val="33"/>
        <w:tabs>
          <w:tab w:val="right" w:leader="dot" w:pos="9185"/>
        </w:tabs>
        <w:rPr>
          <w:rFonts w:hint="eastAsia" w:eastAsia="华文中宋"/>
          <w:lang w:val="en-US" w:eastAsia="zh-CN"/>
        </w:rPr>
      </w:pPr>
      <w:r>
        <w:fldChar w:fldCharType="begin"/>
      </w:r>
      <w:r>
        <w:instrText xml:space="preserve"> HYPERLINK \l "_Toc4437" </w:instrText>
      </w:r>
      <w:r>
        <w:fldChar w:fldCharType="separate"/>
      </w:r>
      <w:r>
        <w:rPr>
          <w:rFonts w:hint="eastAsia" w:ascii="宋体" w:hAnsi="宋体" w:eastAsia="宋体" w:cs="宋体"/>
          <w:szCs w:val="32"/>
        </w:rPr>
        <w:t>第三章 评标办法（综合评估法）</w:t>
      </w:r>
      <w:r>
        <w:tab/>
      </w:r>
      <w:r>
        <w:rPr>
          <w:rFonts w:hint="eastAsia"/>
          <w:lang w:val="en-US" w:eastAsia="zh-CN"/>
        </w:rPr>
        <w:t>2</w:t>
      </w:r>
      <w:r>
        <w:fldChar w:fldCharType="end"/>
      </w:r>
      <w:r>
        <w:rPr>
          <w:rFonts w:hint="eastAsia"/>
          <w:lang w:val="en-US" w:eastAsia="zh-CN"/>
        </w:rPr>
        <w:t>0</w:t>
      </w:r>
    </w:p>
    <w:p w14:paraId="3FDF7E3A">
      <w:pPr>
        <w:pStyle w:val="39"/>
        <w:tabs>
          <w:tab w:val="right" w:leader="dot" w:pos="9185"/>
        </w:tabs>
        <w:rPr>
          <w:rFonts w:hint="eastAsia" w:eastAsia="华文中宋"/>
          <w:lang w:val="en-US" w:eastAsia="zh-CN"/>
        </w:rPr>
      </w:pPr>
      <w:r>
        <w:fldChar w:fldCharType="begin"/>
      </w:r>
      <w:r>
        <w:instrText xml:space="preserve"> HYPERLINK \l "_Toc11549" </w:instrText>
      </w:r>
      <w:r>
        <w:fldChar w:fldCharType="separate"/>
      </w:r>
      <w:r>
        <w:rPr>
          <w:rFonts w:hint="eastAsia" w:ascii="宋体" w:hAnsi="宋体" w:eastAsia="宋体" w:cs="宋体"/>
          <w:szCs w:val="24"/>
        </w:rPr>
        <w:t>1.评标方法</w:t>
      </w:r>
      <w:r>
        <w:tab/>
      </w:r>
      <w:r>
        <w:rPr>
          <w:rFonts w:hint="eastAsia"/>
          <w:lang w:val="en-US" w:eastAsia="zh-CN"/>
        </w:rPr>
        <w:t>2</w:t>
      </w:r>
      <w:r>
        <w:fldChar w:fldCharType="end"/>
      </w:r>
      <w:r>
        <w:rPr>
          <w:rFonts w:hint="eastAsia"/>
          <w:lang w:val="en-US" w:eastAsia="zh-CN"/>
        </w:rPr>
        <w:t>0</w:t>
      </w:r>
    </w:p>
    <w:p w14:paraId="516AF9AE">
      <w:pPr>
        <w:pStyle w:val="39"/>
        <w:tabs>
          <w:tab w:val="right" w:leader="dot" w:pos="9185"/>
        </w:tabs>
        <w:rPr>
          <w:rFonts w:hint="eastAsia" w:eastAsia="华文中宋"/>
          <w:lang w:val="en-US" w:eastAsia="zh-CN"/>
        </w:rPr>
      </w:pPr>
      <w:r>
        <w:fldChar w:fldCharType="begin"/>
      </w:r>
      <w:r>
        <w:instrText xml:space="preserve"> HYPERLINK \l "_Toc20265" </w:instrText>
      </w:r>
      <w:r>
        <w:fldChar w:fldCharType="separate"/>
      </w:r>
      <w:r>
        <w:rPr>
          <w:rFonts w:hint="eastAsia" w:ascii="宋体" w:hAnsi="宋体" w:eastAsia="宋体" w:cs="宋体"/>
          <w:szCs w:val="24"/>
        </w:rPr>
        <w:t>2.投标文件的初审和响应性的规定</w:t>
      </w:r>
      <w:r>
        <w:tab/>
      </w:r>
      <w:r>
        <w:rPr>
          <w:rFonts w:hint="eastAsia"/>
          <w:lang w:val="en-US" w:eastAsia="zh-CN"/>
        </w:rPr>
        <w:t>2</w:t>
      </w:r>
      <w:r>
        <w:fldChar w:fldCharType="end"/>
      </w:r>
      <w:r>
        <w:rPr>
          <w:rFonts w:hint="eastAsia"/>
          <w:lang w:val="en-US" w:eastAsia="zh-CN"/>
        </w:rPr>
        <w:t>0</w:t>
      </w:r>
    </w:p>
    <w:p w14:paraId="2C45AFC3">
      <w:pPr>
        <w:pStyle w:val="39"/>
        <w:tabs>
          <w:tab w:val="right" w:leader="dot" w:pos="9185"/>
        </w:tabs>
        <w:rPr>
          <w:rFonts w:hint="eastAsia" w:eastAsia="华文中宋"/>
          <w:lang w:val="en-US" w:eastAsia="zh-CN"/>
        </w:rPr>
      </w:pPr>
      <w:r>
        <w:fldChar w:fldCharType="begin"/>
      </w:r>
      <w:r>
        <w:instrText xml:space="preserve"> HYPERLINK \l "_Toc18380" </w:instrText>
      </w:r>
      <w:r>
        <w:fldChar w:fldCharType="separate"/>
      </w:r>
      <w:r>
        <w:rPr>
          <w:rFonts w:hint="eastAsia" w:ascii="宋体" w:hAnsi="宋体" w:eastAsia="宋体" w:cs="宋体"/>
          <w:szCs w:val="24"/>
        </w:rPr>
        <w:t>3.初步评审</w:t>
      </w:r>
      <w:r>
        <w:tab/>
      </w:r>
      <w:r>
        <w:rPr>
          <w:rFonts w:hint="eastAsia"/>
          <w:lang w:val="en-US" w:eastAsia="zh-CN"/>
        </w:rPr>
        <w:t>2</w:t>
      </w:r>
      <w:r>
        <w:fldChar w:fldCharType="end"/>
      </w:r>
      <w:r>
        <w:rPr>
          <w:rFonts w:hint="eastAsia"/>
          <w:lang w:val="en-US" w:eastAsia="zh-CN"/>
        </w:rPr>
        <w:t>2</w:t>
      </w:r>
    </w:p>
    <w:p w14:paraId="47734BBB">
      <w:pPr>
        <w:pStyle w:val="39"/>
        <w:tabs>
          <w:tab w:val="right" w:leader="dot" w:pos="9185"/>
        </w:tabs>
        <w:rPr>
          <w:rFonts w:hint="eastAsia" w:eastAsia="华文中宋"/>
          <w:lang w:val="en-US" w:eastAsia="zh-CN"/>
        </w:rPr>
      </w:pPr>
      <w:r>
        <w:fldChar w:fldCharType="begin"/>
      </w:r>
      <w:r>
        <w:instrText xml:space="preserve"> HYPERLINK \l "_Toc17598" </w:instrText>
      </w:r>
      <w:r>
        <w:fldChar w:fldCharType="separate"/>
      </w:r>
      <w:r>
        <w:rPr>
          <w:rFonts w:hint="eastAsia" w:ascii="宋体" w:hAnsi="宋体" w:eastAsia="宋体" w:cs="宋体"/>
          <w:szCs w:val="24"/>
        </w:rPr>
        <w:t>4.  详细评审</w:t>
      </w:r>
      <w:r>
        <w:tab/>
      </w:r>
      <w:r>
        <w:rPr>
          <w:rFonts w:hint="eastAsia"/>
          <w:lang w:val="en-US" w:eastAsia="zh-CN"/>
        </w:rPr>
        <w:t>2</w:t>
      </w:r>
      <w:r>
        <w:fldChar w:fldCharType="end"/>
      </w:r>
      <w:r>
        <w:rPr>
          <w:rFonts w:hint="eastAsia"/>
          <w:lang w:val="en-US" w:eastAsia="zh-CN"/>
        </w:rPr>
        <w:t>2</w:t>
      </w:r>
    </w:p>
    <w:p w14:paraId="646764DB">
      <w:pPr>
        <w:pStyle w:val="39"/>
        <w:tabs>
          <w:tab w:val="right" w:leader="dot" w:pos="9185"/>
        </w:tabs>
      </w:pPr>
      <w:r>
        <w:fldChar w:fldCharType="begin"/>
      </w:r>
      <w:r>
        <w:instrText xml:space="preserve"> HYPERLINK \l "_Toc20423" </w:instrText>
      </w:r>
      <w:r>
        <w:fldChar w:fldCharType="separate"/>
      </w:r>
      <w:r>
        <w:rPr>
          <w:rFonts w:hint="eastAsia" w:ascii="宋体" w:hAnsi="宋体" w:cs="宋体"/>
          <w:szCs w:val="24"/>
        </w:rPr>
        <w:t>4.1 商务评分标准（10分）</w:t>
      </w:r>
      <w:r>
        <w:tab/>
      </w:r>
      <w:r>
        <w:fldChar w:fldCharType="begin"/>
      </w:r>
      <w:r>
        <w:instrText xml:space="preserve"> PAGEREF _Toc20423 \h </w:instrText>
      </w:r>
      <w:r>
        <w:fldChar w:fldCharType="separate"/>
      </w:r>
      <w:r>
        <w:t>2</w:t>
      </w:r>
      <w:r>
        <w:rPr>
          <w:rFonts w:hint="eastAsia"/>
          <w:lang w:val="en-US" w:eastAsia="zh-CN"/>
        </w:rPr>
        <w:t>3</w:t>
      </w:r>
      <w:r>
        <w:fldChar w:fldCharType="end"/>
      </w:r>
      <w:r>
        <w:fldChar w:fldCharType="end"/>
      </w:r>
    </w:p>
    <w:p w14:paraId="4E39F451">
      <w:pPr>
        <w:pStyle w:val="39"/>
        <w:tabs>
          <w:tab w:val="right" w:leader="dot" w:pos="9185"/>
        </w:tabs>
      </w:pPr>
      <w:r>
        <w:fldChar w:fldCharType="begin"/>
      </w:r>
      <w:r>
        <w:instrText xml:space="preserve"> HYPERLINK \l "_Toc17854" </w:instrText>
      </w:r>
      <w:r>
        <w:fldChar w:fldCharType="separate"/>
      </w:r>
      <w:r>
        <w:rPr>
          <w:rFonts w:hint="eastAsia" w:ascii="宋体" w:hAnsi="宋体" w:cs="宋体"/>
          <w:szCs w:val="24"/>
        </w:rPr>
        <w:t>4.2 技术评分标准（30分）</w:t>
      </w:r>
      <w:r>
        <w:tab/>
      </w:r>
      <w:r>
        <w:fldChar w:fldCharType="begin"/>
      </w:r>
      <w:r>
        <w:instrText xml:space="preserve"> PAGEREF _Toc17854 \h </w:instrText>
      </w:r>
      <w:r>
        <w:fldChar w:fldCharType="separate"/>
      </w:r>
      <w:r>
        <w:t>2</w:t>
      </w:r>
      <w:r>
        <w:rPr>
          <w:rFonts w:hint="eastAsia"/>
          <w:lang w:val="en-US" w:eastAsia="zh-CN"/>
        </w:rPr>
        <w:t>4</w:t>
      </w:r>
      <w:r>
        <w:fldChar w:fldCharType="end"/>
      </w:r>
      <w:r>
        <w:fldChar w:fldCharType="end"/>
      </w:r>
    </w:p>
    <w:p w14:paraId="0E77B861">
      <w:pPr>
        <w:pStyle w:val="39"/>
        <w:tabs>
          <w:tab w:val="right" w:leader="dot" w:pos="9185"/>
        </w:tabs>
      </w:pPr>
      <w:r>
        <w:fldChar w:fldCharType="begin"/>
      </w:r>
      <w:r>
        <w:instrText xml:space="preserve"> HYPERLINK \l "_Toc2195" </w:instrText>
      </w:r>
      <w:r>
        <w:fldChar w:fldCharType="separate"/>
      </w:r>
      <w:r>
        <w:rPr>
          <w:rFonts w:hint="eastAsia" w:ascii="宋体" w:hAnsi="宋体" w:cs="宋体"/>
          <w:szCs w:val="24"/>
        </w:rPr>
        <w:t>4.3 投标报价评分标准（满分60分）</w:t>
      </w:r>
      <w:r>
        <w:tab/>
      </w:r>
      <w:r>
        <w:fldChar w:fldCharType="begin"/>
      </w:r>
      <w:r>
        <w:instrText xml:space="preserve"> PAGEREF _Toc2195 \h </w:instrText>
      </w:r>
      <w:r>
        <w:fldChar w:fldCharType="separate"/>
      </w:r>
      <w:r>
        <w:t>2</w:t>
      </w:r>
      <w:r>
        <w:rPr>
          <w:rFonts w:hint="eastAsia"/>
          <w:lang w:val="en-US" w:eastAsia="zh-CN"/>
        </w:rPr>
        <w:t>4</w:t>
      </w:r>
      <w:r>
        <w:fldChar w:fldCharType="end"/>
      </w:r>
      <w:r>
        <w:fldChar w:fldCharType="end"/>
      </w:r>
    </w:p>
    <w:p w14:paraId="3CD1FFB7">
      <w:pPr>
        <w:pStyle w:val="39"/>
        <w:tabs>
          <w:tab w:val="right" w:leader="dot" w:pos="9185"/>
        </w:tabs>
      </w:pPr>
      <w:r>
        <w:fldChar w:fldCharType="begin"/>
      </w:r>
      <w:r>
        <w:instrText xml:space="preserve"> HYPERLINK \l "_Toc21525" </w:instrText>
      </w:r>
      <w:r>
        <w:fldChar w:fldCharType="separate"/>
      </w:r>
      <w:r>
        <w:rPr>
          <w:rFonts w:hint="eastAsia" w:ascii="宋体" w:hAnsi="宋体" w:cs="宋体"/>
          <w:szCs w:val="24"/>
        </w:rPr>
        <w:t>4.4 评标结果</w:t>
      </w:r>
      <w:r>
        <w:tab/>
      </w:r>
      <w:r>
        <w:fldChar w:fldCharType="begin"/>
      </w:r>
      <w:r>
        <w:instrText xml:space="preserve"> PAGEREF _Toc21525 \h </w:instrText>
      </w:r>
      <w:r>
        <w:fldChar w:fldCharType="separate"/>
      </w:r>
      <w:r>
        <w:t>2</w:t>
      </w:r>
      <w:r>
        <w:rPr>
          <w:rFonts w:hint="eastAsia"/>
          <w:lang w:val="en-US" w:eastAsia="zh-CN"/>
        </w:rPr>
        <w:t>5</w:t>
      </w:r>
      <w:r>
        <w:fldChar w:fldCharType="end"/>
      </w:r>
      <w:r>
        <w:fldChar w:fldCharType="end"/>
      </w:r>
    </w:p>
    <w:p w14:paraId="1639741A">
      <w:pPr>
        <w:pStyle w:val="33"/>
        <w:tabs>
          <w:tab w:val="right" w:leader="dot" w:pos="9185"/>
        </w:tabs>
      </w:pPr>
      <w:r>
        <w:fldChar w:fldCharType="begin"/>
      </w:r>
      <w:r>
        <w:instrText xml:space="preserve"> HYPERLINK \l "_Toc28415" </w:instrText>
      </w:r>
      <w:r>
        <w:fldChar w:fldCharType="separate"/>
      </w:r>
      <w:r>
        <w:rPr>
          <w:rFonts w:hint="eastAsia" w:ascii="宋体" w:hAnsi="宋体" w:eastAsia="宋体" w:cs="宋体"/>
          <w:szCs w:val="32"/>
        </w:rPr>
        <w:t>第四章 合同主要条款及合同文本格式</w:t>
      </w:r>
      <w:r>
        <w:tab/>
      </w:r>
      <w:r>
        <w:fldChar w:fldCharType="begin"/>
      </w:r>
      <w:r>
        <w:instrText xml:space="preserve"> PAGEREF _Toc28415 \h </w:instrText>
      </w:r>
      <w:r>
        <w:fldChar w:fldCharType="separate"/>
      </w:r>
      <w:r>
        <w:t>2</w:t>
      </w:r>
      <w:r>
        <w:rPr>
          <w:rFonts w:hint="eastAsia"/>
          <w:lang w:val="en-US" w:eastAsia="zh-CN"/>
        </w:rPr>
        <w:t>6</w:t>
      </w:r>
      <w:r>
        <w:fldChar w:fldCharType="end"/>
      </w:r>
      <w:r>
        <w:fldChar w:fldCharType="end"/>
      </w:r>
    </w:p>
    <w:p w14:paraId="32DAB29C">
      <w:pPr>
        <w:pStyle w:val="39"/>
        <w:tabs>
          <w:tab w:val="right" w:leader="dot" w:pos="9185"/>
        </w:tabs>
      </w:pPr>
      <w:r>
        <w:fldChar w:fldCharType="begin"/>
      </w:r>
      <w:r>
        <w:instrText xml:space="preserve"> HYPERLINK \l "_Toc14750" </w:instrText>
      </w:r>
      <w:r>
        <w:fldChar w:fldCharType="separate"/>
      </w:r>
      <w:r>
        <w:rPr>
          <w:rFonts w:hint="eastAsia" w:ascii="宋体" w:hAnsi="宋体" w:cs="宋体"/>
          <w:szCs w:val="24"/>
        </w:rPr>
        <w:t>详见附件4-1： 《</w:t>
      </w:r>
      <w:r>
        <w:rPr>
          <w:rFonts w:hint="eastAsia" w:ascii="宋体" w:hAnsi="宋体" w:cs="宋体"/>
          <w:szCs w:val="24"/>
          <w:lang w:val="en-US" w:eastAsia="zh-CN"/>
        </w:rPr>
        <w:t>飞灰填埋场运营管理</w:t>
      </w:r>
      <w:r>
        <w:rPr>
          <w:rFonts w:hint="eastAsia" w:ascii="宋体" w:hAnsi="宋体" w:cs="宋体"/>
          <w:szCs w:val="24"/>
        </w:rPr>
        <w:t>服务合同》</w:t>
      </w:r>
      <w:r>
        <w:tab/>
      </w:r>
      <w:r>
        <w:fldChar w:fldCharType="begin"/>
      </w:r>
      <w:r>
        <w:instrText xml:space="preserve"> PAGEREF _Toc14750 \h </w:instrText>
      </w:r>
      <w:r>
        <w:fldChar w:fldCharType="separate"/>
      </w:r>
      <w:r>
        <w:t>2</w:t>
      </w:r>
      <w:r>
        <w:rPr>
          <w:rFonts w:hint="eastAsia"/>
          <w:lang w:val="en-US" w:eastAsia="zh-CN"/>
        </w:rPr>
        <w:t>7</w:t>
      </w:r>
      <w:r>
        <w:fldChar w:fldCharType="end"/>
      </w:r>
      <w:r>
        <w:fldChar w:fldCharType="end"/>
      </w:r>
    </w:p>
    <w:p w14:paraId="0024304C">
      <w:pPr>
        <w:pStyle w:val="33"/>
        <w:tabs>
          <w:tab w:val="right" w:leader="dot" w:pos="9185"/>
        </w:tabs>
        <w:rPr>
          <w:rFonts w:hint="eastAsia" w:eastAsia="华文中宋"/>
          <w:lang w:val="en-US" w:eastAsia="zh-CN"/>
        </w:rPr>
      </w:pPr>
      <w:r>
        <w:fldChar w:fldCharType="begin"/>
      </w:r>
      <w:r>
        <w:instrText xml:space="preserve"> HYPERLINK \l "_Toc3228" </w:instrText>
      </w:r>
      <w:r>
        <w:fldChar w:fldCharType="separate"/>
      </w:r>
      <w:r>
        <w:rPr>
          <w:rFonts w:hint="eastAsia" w:ascii="宋体" w:hAnsi="宋体" w:eastAsia="宋体" w:cs="宋体"/>
          <w:szCs w:val="32"/>
        </w:rPr>
        <w:t>第五章  投标文件格式</w:t>
      </w:r>
      <w:r>
        <w:tab/>
      </w:r>
      <w:r>
        <w:rPr>
          <w:rFonts w:hint="eastAsia"/>
          <w:lang w:val="en-US" w:eastAsia="zh-CN"/>
        </w:rPr>
        <w:t>4</w:t>
      </w:r>
      <w:r>
        <w:fldChar w:fldCharType="end"/>
      </w:r>
      <w:r>
        <w:rPr>
          <w:rFonts w:hint="eastAsia"/>
          <w:lang w:val="en-US" w:eastAsia="zh-CN"/>
        </w:rPr>
        <w:t>0</w:t>
      </w:r>
    </w:p>
    <w:p w14:paraId="704E3C93">
      <w:pPr>
        <w:pStyle w:val="39"/>
        <w:tabs>
          <w:tab w:val="right" w:leader="dot" w:pos="9185"/>
        </w:tabs>
        <w:rPr>
          <w:rFonts w:hint="eastAsia" w:eastAsia="华文中宋"/>
          <w:lang w:val="en-US" w:eastAsia="zh-CN"/>
        </w:rPr>
      </w:pPr>
      <w:r>
        <w:fldChar w:fldCharType="begin"/>
      </w:r>
      <w:r>
        <w:instrText xml:space="preserve"> HYPERLINK \l "_Toc11331" </w:instrText>
      </w:r>
      <w:r>
        <w:fldChar w:fldCharType="separate"/>
      </w:r>
      <w:r>
        <w:rPr>
          <w:rFonts w:hint="eastAsia" w:ascii="宋体" w:hAnsi="宋体" w:eastAsia="宋体" w:cs="宋体"/>
          <w:bCs/>
          <w:szCs w:val="28"/>
          <w:lang w:val="zh-CN"/>
        </w:rPr>
        <w:t>1.</w:t>
      </w:r>
      <w:r>
        <w:rPr>
          <w:rFonts w:hint="eastAsia" w:ascii="宋体" w:hAnsi="宋体" w:eastAsia="宋体" w:cs="宋体"/>
          <w:szCs w:val="28"/>
        </w:rPr>
        <w:t>投标函的格式和内容</w:t>
      </w:r>
      <w:r>
        <w:tab/>
      </w:r>
      <w:r>
        <w:rPr>
          <w:rFonts w:hint="eastAsia"/>
          <w:lang w:val="en-US" w:eastAsia="zh-CN"/>
        </w:rPr>
        <w:t>4</w:t>
      </w:r>
      <w:r>
        <w:fldChar w:fldCharType="end"/>
      </w:r>
      <w:r>
        <w:rPr>
          <w:rFonts w:hint="eastAsia"/>
          <w:lang w:val="en-US" w:eastAsia="zh-CN"/>
        </w:rPr>
        <w:t>0</w:t>
      </w:r>
    </w:p>
    <w:p w14:paraId="69178E4B">
      <w:pPr>
        <w:pStyle w:val="39"/>
        <w:tabs>
          <w:tab w:val="right" w:leader="dot" w:pos="9185"/>
        </w:tabs>
        <w:rPr>
          <w:rFonts w:hint="eastAsia" w:eastAsia="华文中宋"/>
          <w:lang w:val="en-US" w:eastAsia="zh-CN"/>
        </w:rPr>
      </w:pPr>
      <w:r>
        <w:fldChar w:fldCharType="begin"/>
      </w:r>
      <w:r>
        <w:instrText xml:space="preserve"> HYPERLINK \l "_Toc12251" </w:instrText>
      </w:r>
      <w:r>
        <w:fldChar w:fldCharType="separate"/>
      </w:r>
      <w:r>
        <w:rPr>
          <w:rFonts w:hint="eastAsia" w:ascii="宋体" w:hAnsi="宋体" w:eastAsia="宋体" w:cs="宋体"/>
          <w:bCs/>
          <w:szCs w:val="28"/>
          <w:lang w:val="zh-CN"/>
        </w:rPr>
        <w:t>2.投标商资质文件的格式和内容</w:t>
      </w:r>
      <w:r>
        <w:tab/>
      </w:r>
      <w:r>
        <w:rPr>
          <w:rFonts w:hint="eastAsia"/>
          <w:lang w:val="en-US" w:eastAsia="zh-CN"/>
        </w:rPr>
        <w:t>5</w:t>
      </w:r>
      <w:r>
        <w:fldChar w:fldCharType="end"/>
      </w:r>
      <w:r>
        <w:rPr>
          <w:rFonts w:hint="eastAsia"/>
          <w:lang w:val="en-US" w:eastAsia="zh-CN"/>
        </w:rPr>
        <w:t>0</w:t>
      </w:r>
    </w:p>
    <w:p w14:paraId="7E75E91F">
      <w:pPr>
        <w:pStyle w:val="39"/>
        <w:tabs>
          <w:tab w:val="right" w:leader="dot" w:pos="9185"/>
        </w:tabs>
        <w:rPr>
          <w:rFonts w:hint="eastAsia" w:eastAsia="华文中宋"/>
          <w:lang w:val="en-US" w:eastAsia="zh-CN"/>
        </w:rPr>
      </w:pPr>
      <w:r>
        <w:fldChar w:fldCharType="begin"/>
      </w:r>
      <w:r>
        <w:instrText xml:space="preserve"> HYPERLINK \l "_Toc14358" </w:instrText>
      </w:r>
      <w:r>
        <w:fldChar w:fldCharType="separate"/>
      </w:r>
      <w:r>
        <w:rPr>
          <w:rFonts w:hint="eastAsia" w:ascii="宋体" w:hAnsi="宋体" w:eastAsia="宋体" w:cs="宋体"/>
          <w:bCs/>
          <w:szCs w:val="28"/>
          <w:lang w:val="zh-CN"/>
        </w:rPr>
        <w:t>3.技术投标书文件的格式和内容</w:t>
      </w:r>
      <w:r>
        <w:tab/>
      </w:r>
      <w:r>
        <w:rPr>
          <w:rFonts w:hint="eastAsia"/>
          <w:lang w:val="en-US" w:eastAsia="zh-CN"/>
        </w:rPr>
        <w:t>5</w:t>
      </w:r>
      <w:r>
        <w:fldChar w:fldCharType="end"/>
      </w:r>
      <w:r>
        <w:rPr>
          <w:rFonts w:hint="eastAsia"/>
          <w:lang w:val="en-US" w:eastAsia="zh-CN"/>
        </w:rPr>
        <w:t>5</w:t>
      </w:r>
    </w:p>
    <w:p w14:paraId="05B961F6">
      <w:pPr>
        <w:pStyle w:val="39"/>
        <w:tabs>
          <w:tab w:val="right" w:leader="dot" w:pos="9185"/>
        </w:tabs>
      </w:pPr>
    </w:p>
    <w:p w14:paraId="37B4085F">
      <w:pPr>
        <w:spacing w:line="360" w:lineRule="auto"/>
        <w:rPr>
          <w:rFonts w:ascii="宋体" w:hAnsi="宋体" w:eastAsia="宋体" w:cs="宋体"/>
          <w:color w:val="000000" w:themeColor="text1"/>
          <w:sz w:val="21"/>
          <w:szCs w:val="21"/>
          <w14:textFill>
            <w14:solidFill>
              <w14:schemeClr w14:val="tx1"/>
            </w14:solidFill>
          </w14:textFill>
        </w:rPr>
        <w:sectPr>
          <w:footerReference r:id="rId6" w:type="default"/>
          <w:pgSz w:w="11907" w:h="16840"/>
          <w:pgMar w:top="1247" w:right="1361" w:bottom="1247" w:left="1361" w:header="720" w:footer="720" w:gutter="0"/>
          <w:pgNumType w:fmt="upperRoman" w:start="1"/>
          <w:cols w:space="720" w:num="1"/>
          <w:docGrid w:linePitch="286" w:charSpace="0"/>
        </w:sectPr>
      </w:pPr>
      <w:r>
        <w:rPr>
          <w:rFonts w:hint="eastAsia" w:ascii="宋体" w:hAnsi="宋体" w:eastAsia="宋体" w:cs="宋体"/>
          <w:color w:val="000000" w:themeColor="text1"/>
          <w:szCs w:val="21"/>
          <w14:textFill>
            <w14:solidFill>
              <w14:schemeClr w14:val="tx1"/>
            </w14:solidFill>
          </w14:textFill>
        </w:rPr>
        <w:fldChar w:fldCharType="end"/>
      </w:r>
    </w:p>
    <w:p w14:paraId="24574AAC">
      <w:pPr>
        <w:pStyle w:val="2"/>
        <w:numPr>
          <w:ilvl w:val="0"/>
          <w:numId w:val="1"/>
        </w:numPr>
        <w:spacing w:before="120" w:beforeLines="50" w:after="120" w:afterLines="50"/>
        <w:ind w:left="1066" w:hanging="1066"/>
        <w:rPr>
          <w:rFonts w:ascii="宋体" w:hAnsi="宋体" w:eastAsia="宋体" w:cs="宋体"/>
          <w:color w:val="000000" w:themeColor="text1"/>
          <w:sz w:val="32"/>
          <w:szCs w:val="32"/>
          <w14:textFill>
            <w14:solidFill>
              <w14:schemeClr w14:val="tx1"/>
            </w14:solidFill>
          </w14:textFill>
        </w:rPr>
      </w:pPr>
      <w:bookmarkStart w:id="0" w:name="_Toc176085592"/>
      <w:bookmarkStart w:id="1" w:name="_Toc136173541"/>
      <w:bookmarkStart w:id="2" w:name="_Toc29820"/>
      <w:r>
        <w:rPr>
          <w:rFonts w:hint="eastAsia" w:ascii="宋体" w:hAnsi="宋体" w:eastAsia="宋体" w:cs="宋体"/>
          <w:color w:val="000000" w:themeColor="text1"/>
          <w:sz w:val="32"/>
          <w:szCs w:val="32"/>
          <w14:textFill>
            <w14:solidFill>
              <w14:schemeClr w14:val="tx1"/>
            </w14:solidFill>
          </w14:textFill>
        </w:rPr>
        <w:t>投标邀请</w:t>
      </w:r>
      <w:bookmarkEnd w:id="0"/>
      <w:r>
        <w:rPr>
          <w:rFonts w:hint="eastAsia" w:ascii="宋体" w:hAnsi="宋体" w:eastAsia="宋体" w:cs="宋体"/>
          <w:color w:val="000000" w:themeColor="text1"/>
          <w:sz w:val="32"/>
          <w:szCs w:val="32"/>
          <w14:textFill>
            <w14:solidFill>
              <w14:schemeClr w14:val="tx1"/>
            </w14:solidFill>
          </w14:textFill>
        </w:rPr>
        <w:t>函</w:t>
      </w:r>
      <w:bookmarkEnd w:id="1"/>
      <w:bookmarkEnd w:id="2"/>
    </w:p>
    <w:p w14:paraId="0077BB2B">
      <w:pPr>
        <w:rPr>
          <w:rFonts w:ascii="宋体" w:hAnsi="宋体" w:eastAsia="宋体" w:cs="宋体"/>
          <w:color w:val="000000" w:themeColor="text1"/>
          <w14:textFill>
            <w14:solidFill>
              <w14:schemeClr w14:val="tx1"/>
            </w14:solidFill>
          </w14:textFill>
        </w:rPr>
      </w:pPr>
    </w:p>
    <w:p w14:paraId="44F3C075">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3" w:name="_Toc136173542"/>
      <w:bookmarkStart w:id="4" w:name="_Toc4645"/>
      <w:r>
        <w:rPr>
          <w:rFonts w:hint="eastAsia" w:ascii="宋体" w:hAnsi="宋体" w:eastAsia="宋体" w:cs="宋体"/>
          <w:b/>
          <w:color w:val="000000" w:themeColor="text1"/>
          <w:szCs w:val="24"/>
          <w14:textFill>
            <w14:solidFill>
              <w14:schemeClr w14:val="tx1"/>
            </w14:solidFill>
          </w14:textFill>
        </w:rPr>
        <w:t>1.招标条件</w:t>
      </w:r>
      <w:bookmarkEnd w:id="3"/>
      <w:bookmarkEnd w:id="4"/>
    </w:p>
    <w:p w14:paraId="32873EA0">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本招标项目</w:t>
      </w:r>
      <w:r>
        <w:rPr>
          <w:rFonts w:hint="eastAsia" w:ascii="宋体" w:hAnsi="宋体" w:eastAsia="宋体" w:cs="宋体"/>
          <w:b/>
          <w:bCs/>
          <w:color w:val="000000" w:themeColor="text1"/>
          <w:szCs w:val="24"/>
          <w:u w:val="single"/>
          <w:lang w:val="en-US" w:eastAsia="zh-CN"/>
          <w14:textFill>
            <w14:solidFill>
              <w14:schemeClr w14:val="tx1"/>
            </w14:solidFill>
          </w14:textFill>
        </w:rPr>
        <w:t>高州市绿能环保发电</w:t>
      </w:r>
      <w:r>
        <w:rPr>
          <w:rFonts w:hint="eastAsia" w:ascii="宋体" w:hAnsi="宋体" w:eastAsia="宋体" w:cs="宋体"/>
          <w:b/>
          <w:bCs/>
          <w:color w:val="000000" w:themeColor="text1"/>
          <w:szCs w:val="24"/>
          <w:u w:val="single"/>
          <w14:textFill>
            <w14:solidFill>
              <w14:schemeClr w14:val="tx1"/>
            </w14:solidFill>
          </w14:textFill>
        </w:rPr>
        <w:t>项目（以下简称：</w:t>
      </w:r>
      <w:r>
        <w:rPr>
          <w:rFonts w:hint="eastAsia" w:ascii="宋体" w:hAnsi="宋体" w:eastAsia="宋体" w:cs="宋体"/>
          <w:b/>
          <w:bCs/>
          <w:color w:val="000000" w:themeColor="text1"/>
          <w:szCs w:val="24"/>
          <w:u w:val="single"/>
          <w:lang w:val="en-US" w:eastAsia="zh-CN"/>
          <w14:textFill>
            <w14:solidFill>
              <w14:schemeClr w14:val="tx1"/>
            </w14:solidFill>
          </w14:textFill>
        </w:rPr>
        <w:t>高州</w:t>
      </w:r>
      <w:r>
        <w:rPr>
          <w:rFonts w:hint="eastAsia" w:ascii="宋体" w:hAnsi="宋体" w:eastAsia="宋体" w:cs="宋体"/>
          <w:b/>
          <w:bCs/>
          <w:color w:val="000000" w:themeColor="text1"/>
          <w:szCs w:val="24"/>
          <w:u w:val="single"/>
          <w14:textFill>
            <w14:solidFill>
              <w14:schemeClr w14:val="tx1"/>
            </w14:solidFill>
          </w14:textFill>
        </w:rPr>
        <w:t>项目）</w:t>
      </w:r>
      <w:r>
        <w:rPr>
          <w:rFonts w:hint="eastAsia" w:ascii="宋体" w:hAnsi="宋体" w:eastAsia="宋体" w:cs="宋体"/>
          <w:color w:val="000000" w:themeColor="text1"/>
          <w:szCs w:val="24"/>
          <w14:textFill>
            <w14:solidFill>
              <w14:schemeClr w14:val="tx1"/>
            </w14:solidFill>
          </w14:textFill>
        </w:rPr>
        <w:t>已具备招标条件，由</w:t>
      </w:r>
      <w:r>
        <w:rPr>
          <w:rFonts w:hint="eastAsia" w:ascii="宋体" w:hAnsi="宋体" w:eastAsia="宋体" w:cs="宋体"/>
          <w:color w:val="000000" w:themeColor="text1"/>
          <w:szCs w:val="24"/>
          <w:lang w:val="en-US" w:eastAsia="zh-CN"/>
          <w14:textFill>
            <w14:solidFill>
              <w14:schemeClr w14:val="tx1"/>
            </w14:solidFill>
          </w14:textFill>
        </w:rPr>
        <w:t>朗坤环保能源（茂名）有限公司</w:t>
      </w:r>
      <w:r>
        <w:rPr>
          <w:rFonts w:hint="eastAsia" w:ascii="宋体" w:hAnsi="宋体" w:eastAsia="宋体" w:cs="宋体"/>
          <w:color w:val="000000" w:themeColor="text1"/>
          <w:szCs w:val="24"/>
          <w14:textFill>
            <w14:solidFill>
              <w14:schemeClr w14:val="tx1"/>
            </w14:solidFill>
          </w14:textFill>
        </w:rPr>
        <w:t>对2025年-2026年金坑飞灰填埋场运营管理及飞灰转运、填埋服务进行招邀标工作。</w:t>
      </w:r>
    </w:p>
    <w:p w14:paraId="2E621DBE">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5" w:name="_Toc12355"/>
      <w:bookmarkStart w:id="6" w:name="_Toc136173543"/>
      <w:bookmarkStart w:id="7" w:name="_Toc184635054"/>
      <w:r>
        <w:rPr>
          <w:rFonts w:hint="eastAsia" w:ascii="宋体" w:hAnsi="宋体" w:eastAsia="宋体" w:cs="宋体"/>
          <w:b/>
          <w:color w:val="000000" w:themeColor="text1"/>
          <w:szCs w:val="24"/>
          <w14:textFill>
            <w14:solidFill>
              <w14:schemeClr w14:val="tx1"/>
            </w14:solidFill>
          </w14:textFill>
        </w:rPr>
        <w:t>2.项目概况与招标范围</w:t>
      </w:r>
      <w:bookmarkEnd w:id="5"/>
      <w:bookmarkEnd w:id="6"/>
      <w:bookmarkEnd w:id="7"/>
    </w:p>
    <w:p w14:paraId="1760862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en-US" w:eastAsia="zh-CN"/>
          <w14:textFill>
            <w14:solidFill>
              <w14:schemeClr w14:val="tx1"/>
            </w14:solidFill>
          </w14:textFill>
        </w:rPr>
        <w:t>高州</w:t>
      </w:r>
      <w:r>
        <w:rPr>
          <w:rFonts w:hint="eastAsia" w:ascii="宋体" w:hAnsi="宋体" w:eastAsia="宋体" w:cs="宋体"/>
          <w:color w:val="000000" w:themeColor="text1"/>
          <w:szCs w:val="24"/>
          <w14:textFill>
            <w14:solidFill>
              <w14:schemeClr w14:val="tx1"/>
            </w14:solidFill>
          </w14:textFill>
        </w:rPr>
        <w:t>项目概况</w:t>
      </w:r>
    </w:p>
    <w:p w14:paraId="10581799">
      <w:pPr>
        <w:spacing w:line="360" w:lineRule="auto"/>
        <w:jc w:val="left"/>
        <w:rPr>
          <w:rFonts w:ascii="宋体" w:hAnsi="宋体" w:eastAsia="宋体" w:cs="宋体"/>
          <w:color w:val="000000" w:themeColor="text1"/>
          <w:szCs w:val="24"/>
          <w14:textFill>
            <w14:solidFill>
              <w14:schemeClr w14:val="tx1"/>
            </w14:solidFill>
          </w14:textFill>
        </w:rPr>
      </w:pPr>
      <w:bookmarkStart w:id="8" w:name="_Toc456800085"/>
      <w:bookmarkStart w:id="9" w:name="_Toc456799795"/>
      <w:bookmarkStart w:id="10" w:name="_Toc456799947"/>
      <w:bookmarkStart w:id="11" w:name="_Toc456800242"/>
      <w:bookmarkStart w:id="12" w:name="_Toc456799687"/>
      <w:bookmarkStart w:id="13" w:name="_Toc456800136"/>
      <w:bookmarkStart w:id="14" w:name="_Toc456800166"/>
      <w:r>
        <w:rPr>
          <w:rFonts w:hint="eastAsia" w:ascii="宋体" w:hAnsi="宋体" w:eastAsia="宋体" w:cs="宋体"/>
          <w:color w:val="000000" w:themeColor="text1"/>
          <w:szCs w:val="24"/>
          <w14:textFill>
            <w14:solidFill>
              <w14:schemeClr w14:val="tx1"/>
            </w14:solidFill>
          </w14:textFill>
        </w:rPr>
        <w:t>2.1.1项目名称</w:t>
      </w:r>
    </w:p>
    <w:p w14:paraId="3158019C">
      <w:pPr>
        <w:snapToGrid w:val="0"/>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cs="宋体"/>
          <w:szCs w:val="21"/>
        </w:rPr>
        <w:t xml:space="preserve">高州市绿能环保发电厂 </w:t>
      </w:r>
      <w:r>
        <w:rPr>
          <w:rFonts w:hint="eastAsia"/>
          <w:snapToGrid w:val="0"/>
        </w:rPr>
        <w:t>高州市</w:t>
      </w:r>
      <w:r>
        <w:rPr>
          <w:rFonts w:hint="eastAsia" w:hAnsi="宋体"/>
          <w:kern w:val="28"/>
        </w:rPr>
        <w:t>金坑飞灰填埋场运营管理及飞灰转运、填埋</w:t>
      </w:r>
      <w:r>
        <w:rPr>
          <w:rFonts w:hint="eastAsia" w:ascii="宋体" w:hAnsi="宋体" w:cs="宋体"/>
          <w:szCs w:val="21"/>
        </w:rPr>
        <w:t>项目</w:t>
      </w:r>
      <w:r>
        <w:rPr>
          <w:rFonts w:hint="eastAsia" w:ascii="宋体" w:hAnsi="宋体" w:eastAsia="宋体" w:cs="宋体"/>
          <w:color w:val="000000" w:themeColor="text1"/>
          <w:szCs w:val="24"/>
          <w14:textFill>
            <w14:solidFill>
              <w14:schemeClr w14:val="tx1"/>
            </w14:solidFill>
          </w14:textFill>
        </w:rPr>
        <w:t>。</w:t>
      </w:r>
    </w:p>
    <w:p w14:paraId="73DEFDE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2.1.2项目地点</w:t>
      </w:r>
    </w:p>
    <w:p w14:paraId="39377235">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szCs w:val="21"/>
        </w:rPr>
        <w:t>高州市绿能环保发电厂及配套设施项目内  高州市金坑飞灰填埋场内</w:t>
      </w:r>
      <w:r>
        <w:rPr>
          <w:rFonts w:hint="eastAsia" w:ascii="宋体" w:hAnsi="宋体" w:eastAsia="宋体" w:cs="宋体"/>
          <w:color w:val="000000" w:themeColor="text1"/>
          <w:szCs w:val="24"/>
          <w14:textFill>
            <w14:solidFill>
              <w14:schemeClr w14:val="tx1"/>
            </w14:solidFill>
          </w14:textFill>
        </w:rPr>
        <w:t>。</w:t>
      </w:r>
    </w:p>
    <w:p w14:paraId="5CB90B6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2.1.3工程规模</w:t>
      </w:r>
    </w:p>
    <w:p w14:paraId="257E0501">
      <w:pPr>
        <w:snapToGrid w:val="0"/>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szCs w:val="21"/>
        </w:rPr>
        <w:t>高州市绿能环保发电厂配套设施项目</w:t>
      </w:r>
      <w:r>
        <w:rPr>
          <w:rFonts w:ascii="宋体" w:hAnsi="宋体" w:cs="宋体"/>
          <w:color w:val="000000"/>
          <w:szCs w:val="21"/>
        </w:rPr>
        <w:t>总规模为日处理生活垃圾</w:t>
      </w:r>
      <w:r>
        <w:rPr>
          <w:rFonts w:hint="eastAsia" w:ascii="宋体" w:hAnsi="宋体" w:cs="宋体"/>
          <w:color w:val="000000"/>
          <w:szCs w:val="21"/>
        </w:rPr>
        <w:t>12</w:t>
      </w:r>
      <w:r>
        <w:rPr>
          <w:rFonts w:ascii="宋体" w:hAnsi="宋体" w:cs="宋体"/>
          <w:color w:val="000000"/>
          <w:szCs w:val="21"/>
        </w:rPr>
        <w:t>00吨（最大1</w:t>
      </w:r>
      <w:r>
        <w:rPr>
          <w:rFonts w:hint="eastAsia" w:ascii="宋体" w:hAnsi="宋体" w:cs="宋体"/>
          <w:color w:val="000000"/>
          <w:szCs w:val="21"/>
        </w:rPr>
        <w:t>6</w:t>
      </w:r>
      <w:r>
        <w:rPr>
          <w:rFonts w:ascii="宋体" w:hAnsi="宋体" w:cs="宋体"/>
          <w:color w:val="000000"/>
          <w:szCs w:val="21"/>
        </w:rPr>
        <w:t>00吨），配置2条</w:t>
      </w:r>
      <w:r>
        <w:rPr>
          <w:rFonts w:hint="eastAsia" w:ascii="宋体" w:hAnsi="宋体" w:cs="宋体"/>
          <w:color w:val="000000"/>
          <w:szCs w:val="21"/>
        </w:rPr>
        <w:t>6</w:t>
      </w:r>
      <w:r>
        <w:rPr>
          <w:rFonts w:ascii="宋体" w:hAnsi="宋体" w:cs="宋体"/>
          <w:color w:val="000000"/>
          <w:szCs w:val="21"/>
        </w:rPr>
        <w:t>00吨/日（最大</w:t>
      </w:r>
      <w:r>
        <w:rPr>
          <w:rFonts w:hint="eastAsia" w:ascii="宋体" w:hAnsi="宋体" w:cs="宋体"/>
          <w:color w:val="000000"/>
          <w:szCs w:val="21"/>
        </w:rPr>
        <w:t>6</w:t>
      </w:r>
      <w:r>
        <w:rPr>
          <w:rFonts w:ascii="宋体" w:hAnsi="宋体" w:cs="宋体"/>
          <w:color w:val="000000"/>
          <w:szCs w:val="21"/>
        </w:rPr>
        <w:t>00吨）的机械炉排焚烧炉和1台</w:t>
      </w:r>
      <w:r>
        <w:rPr>
          <w:rFonts w:hint="eastAsia" w:ascii="宋体" w:hAnsi="宋体" w:cs="宋体"/>
          <w:color w:val="000000"/>
          <w:szCs w:val="21"/>
        </w:rPr>
        <w:t>25</w:t>
      </w:r>
      <w:r>
        <w:rPr>
          <w:rFonts w:ascii="宋体" w:hAnsi="宋体" w:cs="宋体"/>
          <w:color w:val="000000"/>
          <w:szCs w:val="21"/>
        </w:rPr>
        <w:t>MW凝汽式汽轮发电机组。</w:t>
      </w:r>
    </w:p>
    <w:p w14:paraId="004D93E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招标范围</w:t>
      </w:r>
    </w:p>
    <w:p w14:paraId="34A7D136">
      <w:pPr>
        <w:tabs>
          <w:tab w:val="left" w:pos="900"/>
          <w:tab w:val="left" w:pos="1100"/>
        </w:tabs>
        <w:spacing w:line="360" w:lineRule="auto"/>
        <w:ind w:firstLine="480" w:firstLineChars="200"/>
        <w:rPr>
          <w:rFonts w:hint="default" w:ascii="宋体" w:hAnsi="宋体" w:eastAsia="华文中宋" w:cs="宋体"/>
          <w:szCs w:val="21"/>
          <w:lang w:val="en-US" w:eastAsia="zh-CN"/>
        </w:rPr>
      </w:pPr>
      <w:bookmarkStart w:id="15" w:name="_Toc16651"/>
      <w:bookmarkStart w:id="16" w:name="_Toc136173544"/>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2.1</w:t>
      </w:r>
      <w:r>
        <w:rPr>
          <w:rFonts w:hint="eastAsia" w:ascii="宋体" w:hAnsi="宋体" w:cs="宋体"/>
          <w:szCs w:val="21"/>
        </w:rPr>
        <w:t>投标人负责飞灰螯合物转运每月约为900吨，工作界限：飞灰螯合物的装车、运输、卸车、资料整理、“广东省固体废物环境监管信息平台（企业网上申报平台）”转运联单操作等的全过程，运输过程需严格执行国家、广东省、高州市及相关部门法律法规及规范的要求</w:t>
      </w:r>
      <w:r>
        <w:rPr>
          <w:rFonts w:hint="eastAsia" w:ascii="宋体" w:hAnsi="宋体" w:cs="宋体"/>
          <w:szCs w:val="21"/>
          <w:lang w:eastAsia="zh-CN"/>
        </w:rPr>
        <w:t>。</w:t>
      </w:r>
    </w:p>
    <w:p w14:paraId="2511C881">
      <w:pPr>
        <w:spacing w:line="360" w:lineRule="auto"/>
        <w:ind w:firstLine="420"/>
        <w:rPr>
          <w:rFonts w:hint="default" w:ascii="宋体" w:hAnsi="宋体" w:eastAsia="华文中宋"/>
          <w:highlight w:val="yellow"/>
          <w:lang w:val="en-US" w:eastAsia="zh-CN"/>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投标人负责稳定化飞灰填埋作业技术指导服务，负责飞灰填埋场的管理，承担作业过程的安全管理责任及环保管理责任；按照飞灰填埋场现状接收稳定固化检测合格的飞灰，并按飞灰填埋场管理规范进行运营管理，包括但不限于新增飞灰的填埋管理和前期已填埋飞灰的维护管理；提供飞灰填埋作业技术指导；负责填埋作业准备工作；提供填埋作业过程中所需的所有人工、机械设备、运输工具等；提供填埋作业的物资材料，包括1.00mm双光面HDPE防渗膜、防老化编织袋、粗砂头、尼龙绳、砖渣、粘土和碎石等；飞灰填埋作业；填埋作业后维护；填埋区管理；负责飞灰填埋场内的所有清洁工作；做好相关台账建立及管理工作；负责飞灰填埋场内所有设备设施维护管理，包括但不限于水电设备、消防设备、围栏和抽排系统（含围栏外地下水收集井及抽排设备）。</w:t>
      </w:r>
      <w:r>
        <w:rPr>
          <w:rFonts w:hint="eastAsia" w:ascii="宋体" w:hAnsi="宋体" w:cs="宋体"/>
          <w:szCs w:val="21"/>
          <w:highlight w:val="yellow"/>
        </w:rPr>
        <w:t>飞灰填埋场运营</w:t>
      </w:r>
      <w:r>
        <w:rPr>
          <w:rFonts w:hint="eastAsia" w:ascii="宋体" w:hAnsi="宋体" w:cs="宋体"/>
          <w:szCs w:val="21"/>
          <w:highlight w:val="yellow"/>
          <w:lang w:val="en-US" w:eastAsia="zh-CN"/>
        </w:rPr>
        <w:t>每年的</w:t>
      </w:r>
      <w:r>
        <w:rPr>
          <w:rFonts w:hint="eastAsia" w:ascii="宋体" w:hAnsi="宋体" w:cs="宋体"/>
          <w:szCs w:val="21"/>
          <w:highlight w:val="yellow"/>
        </w:rPr>
        <w:t>排污许可证检测费</w:t>
      </w:r>
      <w:r>
        <w:rPr>
          <w:rFonts w:hint="eastAsia" w:ascii="宋体" w:hAnsi="宋体" w:cs="宋体"/>
          <w:szCs w:val="21"/>
          <w:highlight w:val="yellow"/>
          <w:lang w:val="en-US" w:eastAsia="zh-CN"/>
        </w:rPr>
        <w:t>用、日常的水、电费用全部由乙方负责。</w:t>
      </w:r>
    </w:p>
    <w:p w14:paraId="19FAC0E2">
      <w:pPr>
        <w:tabs>
          <w:tab w:val="left" w:pos="900"/>
          <w:tab w:val="left" w:pos="1100"/>
        </w:tabs>
        <w:spacing w:line="360" w:lineRule="auto"/>
        <w:ind w:firstLine="480" w:firstLineChars="200"/>
        <w:rPr>
          <w:rFonts w:hint="eastAsia"/>
          <w:lang w:val="en-US" w:eastAsia="zh-CN"/>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2.3</w:t>
      </w:r>
      <w:r>
        <w:rPr>
          <w:rFonts w:hint="eastAsia"/>
          <w:b/>
          <w:bCs/>
        </w:rPr>
        <w:t>运输距离：</w:t>
      </w:r>
      <w:r>
        <w:rPr>
          <w:rFonts w:hint="eastAsia"/>
        </w:rPr>
        <w:t>飞灰运输车高州绿能发电厂飞灰暂存库出场至高州市金坑飞灰填埋场，单程约18公里。</w:t>
      </w:r>
      <w:r>
        <w:rPr>
          <w:rFonts w:hint="eastAsia"/>
          <w:lang w:val="en-US" w:eastAsia="zh-CN"/>
        </w:rPr>
        <w:t>必须按招标方规定线路进行飞灰运输，运输车辆联网定位，配备GPS实时监控，驾驶员及押运员必须持危货运输资质上岗。</w:t>
      </w:r>
    </w:p>
    <w:p w14:paraId="11D50A7D">
      <w:pPr>
        <w:tabs>
          <w:tab w:val="left" w:pos="900"/>
          <w:tab w:val="left" w:pos="1100"/>
        </w:tabs>
        <w:spacing w:line="360" w:lineRule="auto"/>
        <w:ind w:firstLine="480" w:firstLineChars="200"/>
        <w:rPr>
          <w:rFonts w:hint="eastAsia" w:eastAsia="华文中宋"/>
          <w:highlight w:val="none"/>
          <w:lang w:val="en-US" w:eastAsia="zh-CN"/>
        </w:rPr>
      </w:pPr>
      <w:r>
        <w:rPr>
          <w:rFonts w:hint="eastAsia"/>
          <w:lang w:val="en-US" w:eastAsia="zh-CN"/>
        </w:rPr>
        <w:t>2.2.4转运量要求：</w:t>
      </w:r>
      <w:r>
        <w:rPr>
          <w:rFonts w:hint="eastAsia" w:ascii="宋体" w:hAnsi="宋体" w:cs="宋体"/>
          <w:szCs w:val="21"/>
          <w:highlight w:val="none"/>
          <w:lang w:val="en-US" w:eastAsia="zh-CN"/>
        </w:rPr>
        <w:t>飞灰执行集中转运，一年转运2-3次，转运期</w:t>
      </w:r>
      <w:r>
        <w:rPr>
          <w:rFonts w:hint="eastAsia" w:ascii="宋体" w:hAnsi="宋体" w:cs="宋体"/>
          <w:sz w:val="24"/>
          <w:szCs w:val="24"/>
          <w:highlight w:val="none"/>
          <w:lang w:bidi="ar"/>
        </w:rPr>
        <w:t>每天飞灰转运量必须转</w:t>
      </w:r>
      <w:r>
        <w:rPr>
          <w:rFonts w:ascii="宋体" w:hAnsi="宋体" w:cs="宋体"/>
          <w:sz w:val="24"/>
          <w:szCs w:val="24"/>
          <w:highlight w:val="none"/>
          <w:lang w:bidi="ar"/>
        </w:rPr>
        <w:t>按</w:t>
      </w:r>
      <w:r>
        <w:rPr>
          <w:rFonts w:ascii="宋体" w:hAnsi="宋体" w:cs="宋体"/>
          <w:sz w:val="24"/>
          <w:szCs w:val="24"/>
          <w:highlight w:val="none"/>
        </w:rPr>
        <w:t>350-500</w:t>
      </w:r>
      <w:r>
        <w:rPr>
          <w:rFonts w:hint="eastAsia" w:ascii="宋体" w:hAnsi="宋体" w:cs="宋体"/>
          <w:sz w:val="24"/>
          <w:szCs w:val="24"/>
          <w:highlight w:val="none"/>
        </w:rPr>
        <w:t>吨/天</w:t>
      </w:r>
      <w:r>
        <w:rPr>
          <w:rFonts w:hint="eastAsia" w:ascii="宋体" w:hAnsi="宋体" w:cs="宋体"/>
          <w:sz w:val="24"/>
          <w:szCs w:val="24"/>
          <w:highlight w:val="none"/>
          <w:lang w:bidi="ar"/>
        </w:rPr>
        <w:t>配置人工、机械。</w:t>
      </w:r>
      <w:r>
        <w:rPr>
          <w:rFonts w:hint="eastAsia" w:ascii="宋体" w:hAnsi="宋体" w:cs="宋体"/>
          <w:sz w:val="24"/>
          <w:szCs w:val="24"/>
          <w:highlight w:val="none"/>
          <w:lang w:val="en-US" w:eastAsia="zh-CN" w:bidi="ar"/>
        </w:rPr>
        <w:t>飞灰从发电厂采用49吨</w:t>
      </w:r>
      <w:r>
        <w:rPr>
          <w:rFonts w:hint="eastAsia" w:ascii="宋体" w:hAnsi="宋体" w:cs="宋体"/>
          <w:sz w:val="24"/>
          <w:szCs w:val="24"/>
          <w:highlight w:val="none"/>
          <w:lang w:bidi="ar"/>
        </w:rPr>
        <w:t>牵引</w:t>
      </w:r>
      <w:r>
        <w:rPr>
          <w:rFonts w:ascii="宋体" w:hAnsi="宋体" w:cs="宋体"/>
          <w:sz w:val="24"/>
          <w:szCs w:val="24"/>
          <w:highlight w:val="none"/>
          <w:lang w:bidi="ar"/>
        </w:rPr>
        <w:t>运输</w:t>
      </w:r>
      <w:r>
        <w:rPr>
          <w:rFonts w:hint="eastAsia" w:ascii="宋体" w:hAnsi="宋体" w:cs="宋体"/>
          <w:sz w:val="24"/>
          <w:szCs w:val="24"/>
          <w:highlight w:val="none"/>
          <w:lang w:bidi="ar"/>
        </w:rPr>
        <w:t>车</w:t>
      </w:r>
      <w:r>
        <w:rPr>
          <w:rFonts w:hint="eastAsia" w:ascii="宋体" w:hAnsi="宋体" w:cs="宋体"/>
          <w:sz w:val="24"/>
          <w:szCs w:val="24"/>
          <w:highlight w:val="none"/>
          <w:lang w:val="en-US" w:eastAsia="zh-CN" w:bidi="ar"/>
        </w:rPr>
        <w:t>转运至飞灰填埋场大门口，需</w:t>
      </w:r>
      <w:r>
        <w:rPr>
          <w:rFonts w:hint="eastAsia" w:ascii="宋体" w:hAnsi="宋体" w:cs="宋体"/>
          <w:sz w:val="24"/>
          <w:szCs w:val="24"/>
          <w:highlight w:val="none"/>
          <w:lang w:bidi="ar"/>
        </w:rPr>
        <w:t>大车转小车</w:t>
      </w:r>
      <w:r>
        <w:rPr>
          <w:rFonts w:hint="eastAsia" w:ascii="宋体" w:hAnsi="宋体" w:cs="宋体"/>
          <w:sz w:val="24"/>
          <w:szCs w:val="24"/>
          <w:highlight w:val="none"/>
          <w:lang w:eastAsia="zh-CN" w:bidi="ar"/>
        </w:rPr>
        <w:t>（</w:t>
      </w:r>
      <w:r>
        <w:rPr>
          <w:rFonts w:ascii="宋体" w:hAnsi="宋体" w:cs="宋体"/>
          <w:sz w:val="24"/>
          <w:szCs w:val="24"/>
          <w:highlight w:val="none"/>
          <w:lang w:bidi="ar"/>
        </w:rPr>
        <w:t>6方车蓝色6轮后驱动车</w:t>
      </w:r>
      <w:r>
        <w:rPr>
          <w:rFonts w:hint="eastAsia" w:ascii="宋体" w:hAnsi="宋体" w:cs="宋体"/>
          <w:sz w:val="24"/>
          <w:szCs w:val="24"/>
          <w:highlight w:val="none"/>
          <w:lang w:eastAsia="zh-CN" w:bidi="ar"/>
        </w:rPr>
        <w:t>）</w:t>
      </w:r>
      <w:r>
        <w:rPr>
          <w:rFonts w:hint="eastAsia" w:ascii="宋体" w:hAnsi="宋体" w:cs="宋体"/>
          <w:sz w:val="24"/>
          <w:szCs w:val="24"/>
          <w:highlight w:val="none"/>
          <w:lang w:bidi="ar"/>
        </w:rPr>
        <w:t>运输到指定</w:t>
      </w:r>
      <w:r>
        <w:rPr>
          <w:rFonts w:hint="eastAsia" w:ascii="宋体" w:hAnsi="宋体" w:cs="宋体"/>
          <w:sz w:val="24"/>
          <w:szCs w:val="24"/>
          <w:highlight w:val="none"/>
          <w:lang w:val="en-US" w:eastAsia="zh-CN" w:bidi="ar"/>
        </w:rPr>
        <w:t>点</w:t>
      </w:r>
      <w:r>
        <w:rPr>
          <w:rFonts w:hint="eastAsia" w:ascii="宋体" w:hAnsi="宋体" w:cs="宋体"/>
          <w:sz w:val="24"/>
          <w:szCs w:val="24"/>
          <w:highlight w:val="none"/>
          <w:lang w:bidi="ar"/>
        </w:rPr>
        <w:t>卸车</w:t>
      </w:r>
      <w:r>
        <w:rPr>
          <w:rFonts w:hint="eastAsia" w:ascii="宋体" w:hAnsi="宋体" w:cs="宋体"/>
          <w:sz w:val="24"/>
          <w:szCs w:val="24"/>
          <w:highlight w:val="none"/>
          <w:lang w:eastAsia="zh-CN" w:bidi="ar"/>
        </w:rPr>
        <w:t>，</w:t>
      </w:r>
      <w:r>
        <w:rPr>
          <w:rFonts w:hint="eastAsia" w:ascii="宋体" w:hAnsi="宋体" w:cs="宋体"/>
          <w:sz w:val="24"/>
          <w:szCs w:val="24"/>
          <w:highlight w:val="none"/>
          <w:lang w:val="en-US" w:eastAsia="zh-CN" w:bidi="ar"/>
        </w:rPr>
        <w:t>过磅重量以招标方发电厂地磅为准</w:t>
      </w:r>
      <w:r>
        <w:rPr>
          <w:rFonts w:hint="eastAsia" w:ascii="宋体" w:hAnsi="宋体" w:cs="宋体"/>
          <w:sz w:val="24"/>
          <w:szCs w:val="24"/>
          <w:highlight w:val="none"/>
          <w:lang w:eastAsia="zh-CN" w:bidi="ar"/>
        </w:rPr>
        <w:t>。</w:t>
      </w:r>
    </w:p>
    <w:p w14:paraId="4A2D93C7">
      <w:pPr>
        <w:snapToGrid w:val="0"/>
        <w:spacing w:line="360" w:lineRule="auto"/>
        <w:ind w:firstLine="480" w:firstLineChars="200"/>
        <w:rPr>
          <w:rFonts w:hint="eastAsia" w:ascii="宋体" w:hAnsi="宋体" w:cs="宋体"/>
          <w:szCs w:val="21"/>
          <w:lang w:eastAsia="zh-CN"/>
        </w:rPr>
      </w:pPr>
      <w:r>
        <w:rPr>
          <w:rFonts w:hint="eastAsia"/>
          <w:lang w:val="en-US" w:eastAsia="zh-CN"/>
        </w:rPr>
        <w:t>2.2.5人员要求：</w:t>
      </w:r>
      <w:r>
        <w:rPr>
          <w:rFonts w:hint="eastAsia" w:ascii="微软雅黑" w:hAnsi="微软雅黑" w:eastAsia="微软雅黑" w:cs="微软雅黑"/>
          <w:lang w:val="en-US" w:eastAsia="zh-CN"/>
        </w:rPr>
        <w:t>①</w:t>
      </w:r>
      <w:r>
        <w:rPr>
          <w:rFonts w:hint="eastAsia" w:ascii="宋体" w:hAnsi="宋体" w:cs="宋体"/>
          <w:szCs w:val="21"/>
        </w:rPr>
        <w:t>转运期间不少于一人现场管理人员在场。</w:t>
      </w:r>
      <w:r>
        <w:rPr>
          <w:rFonts w:hint="eastAsia" w:ascii="宋体" w:hAnsi="宋体" w:cs="宋体"/>
          <w:szCs w:val="21"/>
          <w:lang w:val="en-US" w:eastAsia="zh-CN"/>
        </w:rPr>
        <w:t>②</w:t>
      </w:r>
      <w:r>
        <w:rPr>
          <w:rFonts w:hint="eastAsia" w:ascii="宋体" w:hAnsi="宋体" w:cs="宋体"/>
          <w:szCs w:val="21"/>
        </w:rPr>
        <w:t>操作人员3人</w:t>
      </w:r>
      <w:r>
        <w:rPr>
          <w:rFonts w:hint="eastAsia" w:ascii="宋体" w:hAnsi="宋体" w:cs="宋体"/>
          <w:szCs w:val="21"/>
          <w:lang w:eastAsia="zh-CN"/>
        </w:rPr>
        <w:t>（</w:t>
      </w:r>
      <w:r>
        <w:rPr>
          <w:rFonts w:hint="eastAsia" w:ascii="宋体" w:hAnsi="宋体" w:cs="宋体"/>
          <w:szCs w:val="21"/>
          <w:lang w:val="en-US" w:eastAsia="zh-CN"/>
        </w:rPr>
        <w:t>负责</w:t>
      </w:r>
      <w:r>
        <w:rPr>
          <w:rFonts w:hint="eastAsia" w:ascii="宋体" w:hAnsi="宋体" w:cs="宋体"/>
          <w:szCs w:val="21"/>
        </w:rPr>
        <w:t>叉车挂袋，无职业禁忌症，能进行高处作业，年龄不超55岁</w:t>
      </w:r>
      <w:r>
        <w:rPr>
          <w:rFonts w:hint="eastAsia" w:ascii="宋体" w:hAnsi="宋体" w:cs="宋体"/>
          <w:szCs w:val="21"/>
          <w:lang w:eastAsia="zh-CN"/>
        </w:rPr>
        <w:t>）。</w:t>
      </w:r>
      <w:r>
        <w:rPr>
          <w:rFonts w:hint="eastAsia" w:ascii="宋体" w:hAnsi="宋体" w:cs="宋体"/>
          <w:szCs w:val="21"/>
          <w:lang w:val="en-US" w:eastAsia="zh-CN"/>
        </w:rPr>
        <w:t>③</w:t>
      </w:r>
      <w:r>
        <w:rPr>
          <w:rFonts w:hint="eastAsia" w:ascii="宋体" w:hAnsi="宋体" w:cs="宋体"/>
          <w:szCs w:val="21"/>
        </w:rPr>
        <w:t>其他人员2人</w:t>
      </w:r>
      <w:r>
        <w:rPr>
          <w:rFonts w:hint="eastAsia" w:ascii="宋体" w:hAnsi="宋体" w:cs="宋体"/>
          <w:szCs w:val="21"/>
          <w:lang w:eastAsia="zh-CN"/>
        </w:rPr>
        <w:t>（</w:t>
      </w:r>
      <w:r>
        <w:rPr>
          <w:rFonts w:hint="eastAsia" w:ascii="宋体" w:hAnsi="宋体" w:cs="宋体"/>
          <w:szCs w:val="21"/>
        </w:rPr>
        <w:t>熟悉“广东省固体废物环境监管平台”转运联单操作、现场管理者具备安全管理证</w:t>
      </w:r>
      <w:r>
        <w:rPr>
          <w:rFonts w:hint="eastAsia" w:ascii="宋体" w:hAnsi="宋体" w:cs="宋体"/>
          <w:szCs w:val="21"/>
          <w:lang w:eastAsia="zh-CN"/>
        </w:rPr>
        <w:t>）。</w:t>
      </w:r>
    </w:p>
    <w:p w14:paraId="6B1E4DCE">
      <w:pPr>
        <w:numPr>
          <w:ilvl w:val="0"/>
          <w:numId w:val="0"/>
        </w:numPr>
        <w:ind w:firstLine="480" w:firstLineChars="200"/>
        <w:textAlignment w:val="center"/>
        <w:rPr>
          <w:rFonts w:hint="default" w:ascii="宋体" w:hAnsi="宋体" w:cs="宋体"/>
          <w:szCs w:val="21"/>
          <w:lang w:val="en-US" w:eastAsia="zh-CN"/>
        </w:rPr>
      </w:pPr>
      <w:r>
        <w:rPr>
          <w:rFonts w:hint="eastAsia" w:ascii="宋体" w:hAnsi="宋体" w:cs="宋体"/>
          <w:szCs w:val="21"/>
          <w:lang w:val="en-US" w:eastAsia="zh-CN"/>
        </w:rPr>
        <w:t>2.2.6 机械配置要求：</w:t>
      </w:r>
      <w:r>
        <w:rPr>
          <w:rFonts w:hint="eastAsia" w:ascii="宋体" w:hAnsi="宋体" w:cs="宋体"/>
          <w:szCs w:val="21"/>
        </w:rPr>
        <w:t>牵引运输车4台</w:t>
      </w:r>
      <w:r>
        <w:rPr>
          <w:rFonts w:hint="eastAsia" w:ascii="宋体" w:hAnsi="宋体" w:cs="宋体"/>
          <w:szCs w:val="21"/>
          <w:lang w:eastAsia="zh-CN"/>
        </w:rPr>
        <w:t>（</w:t>
      </w:r>
      <w:r>
        <w:rPr>
          <w:rFonts w:hint="eastAsia" w:ascii="宋体" w:hAnsi="宋体" w:cs="宋体"/>
          <w:szCs w:val="21"/>
        </w:rPr>
        <w:t>车辆具备危货运输资质</w:t>
      </w:r>
      <w:r>
        <w:rPr>
          <w:rFonts w:hint="eastAsia" w:ascii="宋体" w:hAnsi="宋体" w:cs="宋体"/>
          <w:szCs w:val="21"/>
          <w:lang w:eastAsia="zh-CN"/>
        </w:rPr>
        <w:t>，</w:t>
      </w:r>
      <w:r>
        <w:rPr>
          <w:rFonts w:hint="eastAsia" w:ascii="宋体" w:hAnsi="宋体" w:cs="宋体"/>
          <w:szCs w:val="21"/>
        </w:rPr>
        <w:t>必须具备公司危货运输资质</w:t>
      </w:r>
      <w:r>
        <w:rPr>
          <w:rFonts w:hint="eastAsia" w:ascii="宋体" w:hAnsi="宋体" w:cs="宋体"/>
          <w:szCs w:val="21"/>
          <w:lang w:eastAsia="zh-CN"/>
        </w:rPr>
        <w:t>，</w:t>
      </w:r>
      <w:r>
        <w:rPr>
          <w:rFonts w:hint="eastAsia" w:ascii="宋体" w:hAnsi="宋体" w:cs="宋体"/>
          <w:szCs w:val="21"/>
        </w:rPr>
        <w:t>驾驶员、押运员持证上岗</w:t>
      </w:r>
      <w:r>
        <w:rPr>
          <w:rFonts w:hint="eastAsia" w:ascii="宋体" w:hAnsi="宋体" w:cs="宋体"/>
          <w:szCs w:val="21"/>
          <w:lang w:eastAsia="zh-CN"/>
        </w:rPr>
        <w:t>，</w:t>
      </w:r>
      <w:r>
        <w:rPr>
          <w:rFonts w:hint="eastAsia" w:ascii="宋体" w:hAnsi="宋体" w:cs="宋体"/>
          <w:szCs w:val="21"/>
        </w:rPr>
        <w:t>平板车或低栏车</w:t>
      </w:r>
      <w:r>
        <w:rPr>
          <w:rFonts w:hint="eastAsia" w:ascii="宋体" w:hAnsi="宋体" w:cs="宋体"/>
          <w:szCs w:val="21"/>
          <w:lang w:eastAsia="zh-CN"/>
        </w:rPr>
        <w:t>，</w:t>
      </w:r>
      <w:r>
        <w:rPr>
          <w:rFonts w:hint="eastAsia" w:ascii="宋体" w:hAnsi="宋体" w:cs="宋体"/>
          <w:szCs w:val="21"/>
        </w:rPr>
        <w:t>防雨防尘布</w:t>
      </w:r>
      <w:r>
        <w:rPr>
          <w:rFonts w:hint="eastAsia" w:ascii="宋体" w:hAnsi="宋体" w:cs="宋体"/>
          <w:szCs w:val="21"/>
          <w:lang w:eastAsia="zh-CN"/>
        </w:rPr>
        <w:t>；</w:t>
      </w:r>
      <w:r>
        <w:rPr>
          <w:rFonts w:hint="eastAsia" w:ascii="宋体" w:hAnsi="宋体" w:cs="宋体"/>
          <w:szCs w:val="21"/>
        </w:rPr>
        <w:t>牵引车，总质量不高于49吨</w:t>
      </w:r>
      <w:r>
        <w:rPr>
          <w:rFonts w:hint="eastAsia" w:ascii="宋体" w:hAnsi="宋体" w:cs="宋体"/>
          <w:szCs w:val="21"/>
          <w:lang w:eastAsia="zh-CN"/>
        </w:rPr>
        <w:t>）。</w:t>
      </w:r>
      <w:r>
        <w:rPr>
          <w:rFonts w:hint="eastAsia" w:ascii="宋体" w:hAnsi="宋体" w:cs="宋体"/>
          <w:szCs w:val="21"/>
          <w:lang w:val="en-US" w:eastAsia="zh-CN"/>
        </w:rPr>
        <w:t>②</w:t>
      </w:r>
      <w:r>
        <w:rPr>
          <w:rFonts w:hint="eastAsia" w:ascii="宋体" w:hAnsi="宋体" w:cs="宋体"/>
          <w:szCs w:val="21"/>
        </w:rPr>
        <w:t>叉车3台</w:t>
      </w:r>
      <w:r>
        <w:rPr>
          <w:rFonts w:hint="eastAsia" w:ascii="宋体" w:hAnsi="宋体" w:cs="宋体"/>
          <w:szCs w:val="21"/>
          <w:lang w:eastAsia="zh-CN"/>
        </w:rPr>
        <w:t>（</w:t>
      </w:r>
      <w:r>
        <w:rPr>
          <w:rFonts w:hint="eastAsia" w:ascii="宋体" w:hAnsi="宋体" w:cs="宋体"/>
          <w:szCs w:val="21"/>
        </w:rPr>
        <w:t>驶人持证上岗，车辆保险符合要求，载重量3.5吨及以上叉车，起升高度不低于4.5米</w:t>
      </w:r>
      <w:r>
        <w:rPr>
          <w:rFonts w:hint="eastAsia" w:ascii="宋体" w:hAnsi="宋体" w:cs="宋体"/>
          <w:szCs w:val="21"/>
          <w:lang w:eastAsia="zh-CN"/>
        </w:rPr>
        <w:t>）。</w:t>
      </w:r>
      <w:r>
        <w:rPr>
          <w:rFonts w:hint="eastAsia" w:ascii="宋体" w:hAnsi="宋体" w:cs="宋体"/>
          <w:szCs w:val="21"/>
          <w:lang w:val="en-US" w:eastAsia="zh-CN"/>
        </w:rPr>
        <w:t>③</w:t>
      </w:r>
      <w:r>
        <w:rPr>
          <w:rFonts w:hint="eastAsia" w:ascii="宋体" w:hAnsi="宋体" w:cs="宋体"/>
          <w:szCs w:val="21"/>
        </w:rPr>
        <w:t>6方车蓝色6轮后驱动车2台（填埋场门口须大车转小车运输到指定卸车为止）</w:t>
      </w:r>
      <w:r>
        <w:rPr>
          <w:rFonts w:hint="eastAsia" w:ascii="宋体" w:hAnsi="宋体" w:cs="宋体"/>
          <w:szCs w:val="21"/>
          <w:lang w:eastAsia="zh-CN"/>
        </w:rPr>
        <w:t>。</w:t>
      </w:r>
      <w:r>
        <w:rPr>
          <w:rFonts w:hint="eastAsia" w:ascii="宋体" w:hAnsi="宋体" w:cs="宋体"/>
          <w:szCs w:val="21"/>
          <w:lang w:val="en-US" w:eastAsia="zh-CN"/>
        </w:rPr>
        <w:t>④</w:t>
      </w:r>
      <w:r>
        <w:rPr>
          <w:rFonts w:hint="eastAsia" w:ascii="宋体" w:hAnsi="宋体" w:cs="宋体"/>
          <w:szCs w:val="21"/>
        </w:rPr>
        <w:t>PC200挖机</w:t>
      </w:r>
      <w:r>
        <w:rPr>
          <w:rFonts w:hint="eastAsia" w:ascii="宋体" w:hAnsi="宋体" w:cs="宋体"/>
          <w:szCs w:val="21"/>
          <w:lang w:val="en-US" w:eastAsia="zh-CN"/>
        </w:rPr>
        <w:t>1台</w:t>
      </w:r>
      <w:r>
        <w:rPr>
          <w:rFonts w:hint="eastAsia" w:ascii="宋体" w:hAnsi="宋体" w:cs="宋体"/>
          <w:szCs w:val="21"/>
          <w:lang w:eastAsia="zh-CN"/>
        </w:rPr>
        <w:t>（</w:t>
      </w:r>
      <w:r>
        <w:rPr>
          <w:rFonts w:hint="eastAsia" w:ascii="宋体" w:hAnsi="宋体" w:cs="宋体"/>
          <w:szCs w:val="21"/>
        </w:rPr>
        <w:t>用于卸车和填埋飞灰</w:t>
      </w:r>
      <w:r>
        <w:rPr>
          <w:rFonts w:hint="eastAsia" w:ascii="宋体" w:hAnsi="宋体" w:cs="宋体"/>
          <w:szCs w:val="21"/>
          <w:lang w:eastAsia="zh-CN"/>
        </w:rPr>
        <w:t>）。</w:t>
      </w:r>
    </w:p>
    <w:p w14:paraId="11242E8C">
      <w:pPr>
        <w:tabs>
          <w:tab w:val="left" w:pos="900"/>
          <w:tab w:val="left" w:pos="1100"/>
        </w:tabs>
        <w:spacing w:line="360" w:lineRule="auto"/>
        <w:ind w:firstLine="482" w:firstLineChars="200"/>
        <w:rPr>
          <w:rFonts w:hint="default" w:ascii="宋体" w:hAnsi="宋体" w:eastAsia="宋体" w:cs="宋体"/>
          <w:b/>
          <w:color w:val="000000" w:themeColor="text1"/>
          <w:szCs w:val="24"/>
          <w:lang w:val="en-US" w:eastAsia="zh-CN"/>
          <w14:textFill>
            <w14:solidFill>
              <w14:schemeClr w14:val="tx1"/>
            </w14:solidFill>
          </w14:textFill>
        </w:rPr>
      </w:pPr>
      <w:r>
        <w:rPr>
          <w:rFonts w:hint="eastAsia" w:ascii="宋体" w:hAnsi="宋体" w:eastAsia="宋体" w:cs="宋体"/>
          <w:b/>
          <w:color w:val="000000" w:themeColor="text1"/>
          <w:szCs w:val="24"/>
          <w:lang w:val="en-US" w:eastAsia="zh-CN"/>
          <w14:textFill>
            <w14:solidFill>
              <w14:schemeClr w14:val="tx1"/>
            </w14:solidFill>
          </w14:textFill>
        </w:rPr>
        <w:t>2.2.7保险及人员年龄要求：</w:t>
      </w:r>
      <w:r>
        <w:rPr>
          <w:rFonts w:hint="eastAsia" w:ascii="微软雅黑" w:hAnsi="微软雅黑" w:eastAsia="微软雅黑" w:cs="微软雅黑"/>
          <w:lang w:val="en-US" w:eastAsia="zh-CN"/>
        </w:rPr>
        <w:t>①</w:t>
      </w:r>
      <w:r>
        <w:rPr>
          <w:rFonts w:hint="eastAsia" w:ascii="宋体" w:hAnsi="宋体" w:eastAsia="宋体" w:cs="宋体"/>
          <w:b/>
          <w:color w:val="000000" w:themeColor="text1"/>
          <w:szCs w:val="24"/>
          <w:lang w:val="en-US" w:eastAsia="zh-CN"/>
          <w14:textFill>
            <w14:solidFill>
              <w14:schemeClr w14:val="tx1"/>
            </w14:solidFill>
          </w14:textFill>
        </w:rPr>
        <w:t>工伤或意外身故保额不低于100万元人民币。</w:t>
      </w:r>
      <w:r>
        <w:rPr>
          <w:rFonts w:hint="eastAsia" w:ascii="微软雅黑" w:hAnsi="微软雅黑" w:eastAsia="微软雅黑" w:cs="微软雅黑"/>
          <w:lang w:val="en-US" w:eastAsia="zh-CN"/>
        </w:rPr>
        <w:t>②</w:t>
      </w:r>
      <w:r>
        <w:rPr>
          <w:rFonts w:hint="eastAsia" w:ascii="宋体" w:hAnsi="宋体" w:eastAsia="宋体" w:cs="宋体"/>
          <w:b/>
          <w:color w:val="000000" w:themeColor="text1"/>
          <w:szCs w:val="24"/>
          <w:lang w:val="en-US" w:eastAsia="zh-CN"/>
          <w14:textFill>
            <w14:solidFill>
              <w14:schemeClr w14:val="tx1"/>
            </w14:solidFill>
          </w14:textFill>
        </w:rPr>
        <w:t xml:space="preserve"> 现场操作人员和机械驾驶员年龄不超55岁 。                                                                                                                                                                           </w:t>
      </w:r>
    </w:p>
    <w:p w14:paraId="5808FB01">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3.资金来源</w:t>
      </w:r>
      <w:bookmarkEnd w:id="15"/>
      <w:bookmarkEnd w:id="16"/>
    </w:p>
    <w:p w14:paraId="1B960DD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3.1资金来源：企业自筹。</w:t>
      </w:r>
    </w:p>
    <w:p w14:paraId="0615E67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3.2资金落实情况：筹备完成。</w:t>
      </w:r>
    </w:p>
    <w:p w14:paraId="7CD01C49">
      <w:pPr>
        <w:numPr>
          <w:ilvl w:val="0"/>
          <w:numId w:val="2"/>
        </w:numPr>
        <w:autoSpaceDE w:val="0"/>
        <w:autoSpaceDN w:val="0"/>
        <w:spacing w:before="120" w:after="120" w:afterLines="50" w:line="360" w:lineRule="auto"/>
        <w:jc w:val="left"/>
        <w:outlineLvl w:val="0"/>
        <w:rPr>
          <w:rFonts w:ascii="宋体" w:hAnsi="宋体" w:eastAsia="宋体" w:cs="宋体"/>
          <w:b/>
          <w:szCs w:val="24"/>
        </w:rPr>
      </w:pPr>
      <w:bookmarkStart w:id="17" w:name="_Toc136173545"/>
      <w:bookmarkStart w:id="18" w:name="_Toc7160"/>
      <w:r>
        <w:rPr>
          <w:rFonts w:hint="eastAsia" w:ascii="宋体" w:hAnsi="宋体" w:eastAsia="宋体" w:cs="宋体"/>
          <w:b/>
          <w:szCs w:val="24"/>
          <w:lang w:val="en-US" w:eastAsia="zh-CN"/>
        </w:rPr>
        <w:t>合同</w:t>
      </w:r>
      <w:bookmarkEnd w:id="17"/>
      <w:bookmarkEnd w:id="18"/>
      <w:r>
        <w:rPr>
          <w:rFonts w:hint="eastAsia" w:ascii="宋体" w:hAnsi="宋体" w:eastAsia="宋体" w:cs="宋体"/>
          <w:b/>
          <w:szCs w:val="24"/>
          <w:lang w:val="en-US" w:eastAsia="zh-CN"/>
        </w:rPr>
        <w:t>期限</w:t>
      </w:r>
    </w:p>
    <w:p w14:paraId="6CEE1D3E">
      <w:pPr>
        <w:numPr>
          <w:ilvl w:val="1"/>
          <w:numId w:val="2"/>
        </w:num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szCs w:val="24"/>
          <w:highlight w:val="yellow"/>
          <w:lang w:val="en-US" w:eastAsia="zh-CN"/>
        </w:rPr>
        <w:t>1年，</w:t>
      </w:r>
      <w:r>
        <w:rPr>
          <w:rFonts w:hint="eastAsia" w:ascii="宋体" w:hAnsi="宋体" w:eastAsia="宋体"/>
          <w:sz w:val="24"/>
          <w:highlight w:val="yellow"/>
        </w:rPr>
        <w:t>202</w:t>
      </w:r>
      <w:r>
        <w:rPr>
          <w:rFonts w:hint="eastAsia" w:ascii="宋体" w:hAnsi="宋体" w:eastAsia="宋体"/>
          <w:sz w:val="24"/>
          <w:highlight w:val="yellow"/>
          <w:lang w:val="en-US" w:eastAsia="zh-CN"/>
        </w:rPr>
        <w:t>5</w:t>
      </w:r>
      <w:r>
        <w:rPr>
          <w:rFonts w:hint="eastAsia" w:ascii="宋体" w:hAnsi="宋体" w:eastAsia="宋体"/>
          <w:sz w:val="24"/>
          <w:highlight w:val="yellow"/>
        </w:rPr>
        <w:t>年9月1日至202</w:t>
      </w:r>
      <w:r>
        <w:rPr>
          <w:rFonts w:hint="eastAsia" w:ascii="宋体" w:hAnsi="宋体" w:eastAsia="宋体"/>
          <w:sz w:val="24"/>
          <w:highlight w:val="yellow"/>
          <w:lang w:val="en-US" w:eastAsia="zh-CN"/>
        </w:rPr>
        <w:t>6</w:t>
      </w:r>
      <w:r>
        <w:rPr>
          <w:rFonts w:hint="eastAsia" w:ascii="宋体" w:hAnsi="宋体" w:eastAsia="宋体"/>
          <w:sz w:val="24"/>
          <w:highlight w:val="yellow"/>
        </w:rPr>
        <w:t>年8月31日</w:t>
      </w:r>
      <w:r>
        <w:rPr>
          <w:rFonts w:hint="eastAsia" w:ascii="宋体" w:hAnsi="宋体" w:eastAsia="宋体"/>
          <w:sz w:val="24"/>
          <w:highlight w:val="yellow"/>
          <w:lang w:eastAsia="zh-CN"/>
        </w:rPr>
        <w:t>。</w:t>
      </w:r>
      <w:bookmarkStart w:id="19" w:name="_Toc470006775"/>
    </w:p>
    <w:p w14:paraId="4FE2BA56">
      <w:pPr>
        <w:spacing w:line="360" w:lineRule="auto"/>
        <w:jc w:val="left"/>
        <w:rPr>
          <w:rFonts w:hint="eastAsia" w:ascii="宋体" w:hAnsi="宋体" w:eastAsia="宋体" w:cs="宋体"/>
          <w:color w:val="000000" w:themeColor="text1"/>
          <w:szCs w:val="24"/>
          <w14:textFill>
            <w14:solidFill>
              <w14:schemeClr w14:val="tx1"/>
            </w14:solidFill>
          </w14:textFill>
        </w:rPr>
      </w:pPr>
      <w:bookmarkStart w:id="20" w:name="_Toc136173547"/>
      <w:bookmarkStart w:id="21" w:name="_Toc9479"/>
      <w:r>
        <w:rPr>
          <w:rFonts w:hint="eastAsia" w:ascii="宋体" w:hAnsi="宋体" w:eastAsia="宋体" w:cs="宋体"/>
          <w:b/>
          <w:color w:val="000000" w:themeColor="text1"/>
          <w:szCs w:val="24"/>
          <w:lang w:val="en-US" w:eastAsia="zh-CN"/>
          <w14:textFill>
            <w14:solidFill>
              <w14:schemeClr w14:val="tx1"/>
            </w14:solidFill>
          </w14:textFill>
        </w:rPr>
        <w:t>5</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投标人资格要求</w:t>
      </w:r>
      <w:bookmarkEnd w:id="19"/>
      <w:bookmarkEnd w:id="20"/>
      <w:bookmarkEnd w:id="21"/>
    </w:p>
    <w:p w14:paraId="3F59E47E">
      <w:pPr>
        <w:spacing w:line="360" w:lineRule="auto"/>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5.1</w:t>
      </w:r>
      <w:r>
        <w:rPr>
          <w:rFonts w:hint="eastAsia" w:ascii="宋体" w:hAnsi="宋体" w:eastAsia="宋体" w:cs="宋体"/>
          <w:color w:val="000000" w:themeColor="text1"/>
          <w:szCs w:val="24"/>
          <w14:textFill>
            <w14:solidFill>
              <w14:schemeClr w14:val="tx1"/>
            </w14:solidFill>
          </w14:textFill>
        </w:rPr>
        <w:t>营业执照：投标人应具有中华人民共和国境内注册的独立法人资格并具备独立承担民事责任的能力，提供合法有效的营业执照。</w:t>
      </w:r>
    </w:p>
    <w:p w14:paraId="769F7D67">
      <w:pPr>
        <w:spacing w:line="360" w:lineRule="auto"/>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5.2</w:t>
      </w:r>
      <w:r>
        <w:rPr>
          <w:rFonts w:hint="eastAsia" w:ascii="宋体" w:hAnsi="宋体" w:eastAsia="宋体" w:cs="宋体"/>
          <w:color w:val="000000" w:themeColor="text1"/>
          <w:szCs w:val="24"/>
          <w14:textFill>
            <w14:solidFill>
              <w14:schemeClr w14:val="tx1"/>
            </w14:solidFill>
          </w14:textFill>
        </w:rPr>
        <w:t>资质要求：投标人须必须①具备危废品运输许可相关资质；②在“广东省固体废物环境监管平台”进行注册，否则不具备投标资格。</w:t>
      </w:r>
    </w:p>
    <w:p w14:paraId="5F9ACB22">
      <w:pPr>
        <w:spacing w:line="360" w:lineRule="auto"/>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5.3</w:t>
      </w:r>
      <w:r>
        <w:rPr>
          <w:rFonts w:hint="eastAsia" w:ascii="宋体" w:hAnsi="宋体" w:eastAsia="宋体" w:cs="宋体"/>
          <w:color w:val="000000" w:themeColor="text1"/>
          <w:szCs w:val="24"/>
          <w14:textFill>
            <w14:solidFill>
              <w14:schemeClr w14:val="tx1"/>
            </w14:solidFill>
          </w14:textFill>
        </w:rPr>
        <w:t>业绩要求：投标人2021年1月1日至投标截止时间（以合同签订时间为准），具有1个日处理500吨及以上垃圾焚烧厂飞灰转运服务业绩，须提供业绩合同复印件并加盖投标人公章。注：合同须附合同关键页（封面页、工作内容页、规模（金额）页以及签章页等），具有飞灰转运服务单位业绩的优先考虑。</w:t>
      </w:r>
    </w:p>
    <w:p w14:paraId="506FB4C9">
      <w:pPr>
        <w:spacing w:line="360" w:lineRule="auto"/>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5.4</w:t>
      </w:r>
      <w:r>
        <w:rPr>
          <w:rFonts w:hint="eastAsia" w:ascii="宋体" w:hAnsi="宋体" w:eastAsia="宋体" w:cs="宋体"/>
          <w:color w:val="000000" w:themeColor="text1"/>
          <w:szCs w:val="24"/>
          <w14:textFill>
            <w14:solidFill>
              <w14:schemeClr w14:val="tx1"/>
            </w14:solidFill>
          </w14:textFill>
        </w:rPr>
        <w:t>人员要求：</w:t>
      </w:r>
    </w:p>
    <w:p w14:paraId="68777043">
      <w:pPr>
        <w:spacing w:line="360" w:lineRule="auto"/>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5.4</w:t>
      </w:r>
      <w:r>
        <w:rPr>
          <w:rFonts w:hint="eastAsia" w:ascii="宋体" w:hAnsi="宋体" w:eastAsia="宋体" w:cs="宋体"/>
          <w:color w:val="000000" w:themeColor="text1"/>
          <w:szCs w:val="24"/>
          <w14:textFill>
            <w14:solidFill>
              <w14:schemeClr w14:val="tx1"/>
            </w14:solidFill>
          </w14:textFill>
        </w:rPr>
        <w:t>.1：转运期间不少于一人现场管理人员在场。</w:t>
      </w:r>
    </w:p>
    <w:p w14:paraId="42351E63">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2" w:name="_Toc4107"/>
      <w:bookmarkStart w:id="23" w:name="_Toc136173548"/>
      <w:r>
        <w:rPr>
          <w:rFonts w:hint="eastAsia" w:ascii="宋体" w:hAnsi="宋体" w:eastAsia="宋体" w:cs="宋体"/>
          <w:b/>
          <w:color w:val="000000" w:themeColor="text1"/>
          <w:szCs w:val="24"/>
          <w:lang w:val="en-US" w:eastAsia="zh-CN"/>
          <w14:textFill>
            <w14:solidFill>
              <w14:schemeClr w14:val="tx1"/>
            </w14:solidFill>
          </w14:textFill>
        </w:rPr>
        <w:t>6</w:t>
      </w:r>
      <w:r>
        <w:rPr>
          <w:rFonts w:hint="eastAsia" w:ascii="宋体" w:hAnsi="宋体" w:eastAsia="宋体" w:cs="宋体"/>
          <w:b/>
          <w:color w:val="000000" w:themeColor="text1"/>
          <w:szCs w:val="24"/>
          <w14:textFill>
            <w14:solidFill>
              <w14:schemeClr w14:val="tx1"/>
            </w14:solidFill>
          </w14:textFill>
        </w:rPr>
        <w:t>.招标文件出售时间</w:t>
      </w:r>
      <w:bookmarkEnd w:id="22"/>
      <w:bookmarkEnd w:id="23"/>
    </w:p>
    <w:p w14:paraId="281F876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自202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年0</w:t>
      </w:r>
      <w:r>
        <w:rPr>
          <w:rFonts w:hint="eastAsia" w:ascii="宋体" w:hAnsi="宋体" w:eastAsia="宋体" w:cs="宋体"/>
          <w:color w:val="000000" w:themeColor="text1"/>
          <w:szCs w:val="24"/>
          <w:lang w:val="en-US" w:eastAsia="zh-CN"/>
          <w14:textFill>
            <w14:solidFill>
              <w14:schemeClr w14:val="tx1"/>
            </w14:solidFill>
          </w14:textFill>
        </w:rPr>
        <w:t>6</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17</w:t>
      </w:r>
      <w:r>
        <w:rPr>
          <w:rFonts w:hint="eastAsia" w:ascii="宋体" w:hAnsi="宋体" w:eastAsia="宋体" w:cs="宋体"/>
          <w:color w:val="000000" w:themeColor="text1"/>
          <w:szCs w:val="24"/>
          <w14:textFill>
            <w14:solidFill>
              <w14:schemeClr w14:val="tx1"/>
            </w14:solidFill>
          </w14:textFill>
        </w:rPr>
        <w:t>日-0</w:t>
      </w:r>
      <w:r>
        <w:rPr>
          <w:rFonts w:hint="eastAsia" w:ascii="宋体" w:hAnsi="宋体" w:eastAsia="宋体" w:cs="宋体"/>
          <w:color w:val="000000" w:themeColor="text1"/>
          <w:szCs w:val="24"/>
          <w:lang w:val="en-US" w:eastAsia="zh-CN"/>
          <w14:textFill>
            <w14:solidFill>
              <w14:schemeClr w14:val="tx1"/>
            </w14:solidFill>
          </w14:textFill>
        </w:rPr>
        <w:t>6</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30</w:t>
      </w:r>
      <w:r>
        <w:rPr>
          <w:rFonts w:hint="eastAsia" w:ascii="宋体" w:hAnsi="宋体" w:eastAsia="宋体" w:cs="宋体"/>
          <w:color w:val="000000" w:themeColor="text1"/>
          <w:szCs w:val="24"/>
          <w14:textFill>
            <w14:solidFill>
              <w14:schemeClr w14:val="tx1"/>
            </w14:solidFill>
          </w14:textFill>
        </w:rPr>
        <w:t>日止。</w:t>
      </w:r>
    </w:p>
    <w:p w14:paraId="052ACBD1">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4" w:name="_Toc6230"/>
      <w:bookmarkStart w:id="25" w:name="_Toc136173549"/>
      <w:r>
        <w:rPr>
          <w:rFonts w:hint="eastAsia" w:ascii="宋体" w:hAnsi="宋体" w:eastAsia="宋体" w:cs="宋体"/>
          <w:b/>
          <w:color w:val="000000" w:themeColor="text1"/>
          <w:szCs w:val="24"/>
          <w:lang w:val="en-US" w:eastAsia="zh-CN"/>
          <w14:textFill>
            <w14:solidFill>
              <w14:schemeClr w14:val="tx1"/>
            </w14:solidFill>
          </w14:textFill>
        </w:rPr>
        <w:t>7</w:t>
      </w:r>
      <w:r>
        <w:rPr>
          <w:rFonts w:hint="eastAsia" w:ascii="宋体" w:hAnsi="宋体" w:eastAsia="宋体" w:cs="宋体"/>
          <w:b/>
          <w:color w:val="000000" w:themeColor="text1"/>
          <w:szCs w:val="24"/>
          <w14:textFill>
            <w14:solidFill>
              <w14:schemeClr w14:val="tx1"/>
            </w14:solidFill>
          </w14:textFill>
        </w:rPr>
        <w:t>.获取招标文件的时间及地点</w:t>
      </w:r>
      <w:bookmarkEnd w:id="24"/>
      <w:bookmarkEnd w:id="25"/>
    </w:p>
    <w:p w14:paraId="58CBC747">
      <w:pPr>
        <w:spacing w:line="360" w:lineRule="auto"/>
        <w:jc w:val="left"/>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凡有意参加投标者，请回执《投标意向确认书》，招标人将采用提供电子档招标文件发放到《投标联系人确认书》指定的邮箱地址，敬请查收。</w:t>
      </w:r>
    </w:p>
    <w:p w14:paraId="21EE9749">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6" w:name="_Toc136173550"/>
      <w:bookmarkStart w:id="27" w:name="_Toc12897"/>
      <w:r>
        <w:rPr>
          <w:rFonts w:hint="eastAsia" w:ascii="宋体" w:hAnsi="宋体" w:eastAsia="宋体" w:cs="宋体"/>
          <w:b/>
          <w:color w:val="000000" w:themeColor="text1"/>
          <w:szCs w:val="24"/>
          <w:lang w:val="en-US" w:eastAsia="zh-CN"/>
          <w14:textFill>
            <w14:solidFill>
              <w14:schemeClr w14:val="tx1"/>
            </w14:solidFill>
          </w14:textFill>
        </w:rPr>
        <w:t>8</w:t>
      </w:r>
      <w:r>
        <w:rPr>
          <w:rFonts w:hint="eastAsia" w:ascii="宋体" w:hAnsi="宋体" w:eastAsia="宋体" w:cs="宋体"/>
          <w:b/>
          <w:color w:val="000000" w:themeColor="text1"/>
          <w:szCs w:val="24"/>
          <w14:textFill>
            <w14:solidFill>
              <w14:schemeClr w14:val="tx1"/>
            </w14:solidFill>
          </w14:textFill>
        </w:rPr>
        <w:t>.招标文件费用</w:t>
      </w:r>
      <w:bookmarkEnd w:id="26"/>
      <w:bookmarkEnd w:id="27"/>
    </w:p>
    <w:p w14:paraId="5C505FF2">
      <w:pPr>
        <w:adjustRightInd w:val="0"/>
        <w:snapToGri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本次招标不收取采购文件费用。</w:t>
      </w:r>
    </w:p>
    <w:p w14:paraId="0EECEC71">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8" w:name="_Toc136173551"/>
      <w:bookmarkStart w:id="29" w:name="_Toc24239"/>
      <w:r>
        <w:rPr>
          <w:rFonts w:hint="eastAsia" w:ascii="宋体" w:hAnsi="宋体" w:eastAsia="宋体" w:cs="宋体"/>
          <w:b/>
          <w:color w:val="000000" w:themeColor="text1"/>
          <w:szCs w:val="24"/>
          <w:lang w:val="en-US" w:eastAsia="zh-CN"/>
          <w14:textFill>
            <w14:solidFill>
              <w14:schemeClr w14:val="tx1"/>
            </w14:solidFill>
          </w14:textFill>
        </w:rPr>
        <w:t>9</w:t>
      </w:r>
      <w:r>
        <w:rPr>
          <w:rFonts w:hint="eastAsia" w:ascii="宋体" w:hAnsi="宋体" w:eastAsia="宋体" w:cs="宋体"/>
          <w:b/>
          <w:color w:val="000000" w:themeColor="text1"/>
          <w:szCs w:val="24"/>
          <w14:textFill>
            <w14:solidFill>
              <w14:schemeClr w14:val="tx1"/>
            </w14:solidFill>
          </w14:textFill>
        </w:rPr>
        <w:t>. 投标文件的递交</w:t>
      </w:r>
      <w:bookmarkEnd w:id="28"/>
      <w:bookmarkEnd w:id="29"/>
    </w:p>
    <w:p w14:paraId="25EE782D">
      <w:pPr>
        <w:spacing w:line="360" w:lineRule="auto"/>
        <w:jc w:val="left"/>
        <w:rPr>
          <w:rFonts w:ascii="宋体" w:hAnsi="宋体" w:eastAsia="宋体" w:cs="宋体"/>
          <w:b/>
          <w:snapToGrid w:val="0"/>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9</w:t>
      </w:r>
      <w:r>
        <w:rPr>
          <w:rFonts w:hint="eastAsia" w:ascii="宋体" w:hAnsi="宋体" w:eastAsia="宋体" w:cs="宋体"/>
          <w:color w:val="000000" w:themeColor="text1"/>
          <w:szCs w:val="24"/>
          <w14:textFill>
            <w14:solidFill>
              <w14:schemeClr w14:val="tx1"/>
            </w14:solidFill>
          </w14:textFill>
        </w:rPr>
        <w:t>.1投标截止时间：</w:t>
      </w:r>
      <w:r>
        <w:rPr>
          <w:rFonts w:hint="eastAsia" w:ascii="宋体" w:hAnsi="宋体" w:eastAsia="宋体" w:cs="宋体"/>
          <w:snapToGrid w:val="0"/>
          <w:color w:val="000000" w:themeColor="text1"/>
          <w:szCs w:val="24"/>
          <w:u w:val="single"/>
          <w14:textFill>
            <w14:solidFill>
              <w14:schemeClr w14:val="tx1"/>
            </w14:solidFill>
          </w14:textFill>
        </w:rPr>
        <w:t>202</w:t>
      </w:r>
      <w:r>
        <w:rPr>
          <w:rFonts w:hint="eastAsia" w:ascii="宋体" w:hAnsi="宋体" w:eastAsia="宋体" w:cs="宋体"/>
          <w:snapToGrid w:val="0"/>
          <w:color w:val="000000" w:themeColor="text1"/>
          <w:szCs w:val="24"/>
          <w:u w:val="single"/>
          <w:lang w:val="en-US" w:eastAsia="zh-CN"/>
          <w14:textFill>
            <w14:solidFill>
              <w14:schemeClr w14:val="tx1"/>
            </w14:solidFill>
          </w14:textFill>
        </w:rPr>
        <w:t>5</w:t>
      </w:r>
      <w:r>
        <w:rPr>
          <w:rFonts w:hint="eastAsia" w:ascii="宋体" w:hAnsi="宋体" w:eastAsia="宋体" w:cs="宋体"/>
          <w:snapToGrid w:val="0"/>
          <w:color w:val="000000" w:themeColor="text1"/>
          <w:szCs w:val="24"/>
          <w14:textFill>
            <w14:solidFill>
              <w14:schemeClr w14:val="tx1"/>
            </w14:solidFill>
          </w14:textFill>
        </w:rPr>
        <w:t>年</w:t>
      </w:r>
      <w:r>
        <w:rPr>
          <w:rFonts w:hint="eastAsia" w:ascii="宋体" w:hAnsi="宋体" w:eastAsia="宋体" w:cs="宋体"/>
          <w:snapToGrid w:val="0"/>
          <w:color w:val="000000" w:themeColor="text1"/>
          <w:szCs w:val="24"/>
          <w:u w:val="single"/>
          <w14:textFill>
            <w14:solidFill>
              <w14:schemeClr w14:val="tx1"/>
            </w14:solidFill>
          </w14:textFill>
        </w:rPr>
        <w:t xml:space="preserve"> 0</w:t>
      </w:r>
      <w:r>
        <w:rPr>
          <w:rFonts w:hint="eastAsia" w:ascii="宋体" w:hAnsi="宋体" w:eastAsia="宋体" w:cs="宋体"/>
          <w:snapToGrid w:val="0"/>
          <w:color w:val="000000" w:themeColor="text1"/>
          <w:szCs w:val="24"/>
          <w:u w:val="single"/>
          <w:lang w:val="en-US" w:eastAsia="zh-CN"/>
          <w14:textFill>
            <w14:solidFill>
              <w14:schemeClr w14:val="tx1"/>
            </w14:solidFill>
          </w14:textFill>
        </w:rPr>
        <w:t>7</w:t>
      </w:r>
      <w:r>
        <w:rPr>
          <w:rFonts w:hint="eastAsia" w:ascii="宋体" w:hAnsi="宋体" w:eastAsia="宋体" w:cs="宋体"/>
          <w:snapToGrid w:val="0"/>
          <w:color w:val="000000" w:themeColor="text1"/>
          <w:szCs w:val="24"/>
          <w14:textFill>
            <w14:solidFill>
              <w14:schemeClr w14:val="tx1"/>
            </w14:solidFill>
          </w14:textFill>
        </w:rPr>
        <w:t>月</w:t>
      </w:r>
      <w:r>
        <w:rPr>
          <w:rFonts w:hint="eastAsia" w:ascii="宋体" w:hAnsi="宋体" w:eastAsia="宋体" w:cs="宋体"/>
          <w:snapToGrid w:val="0"/>
          <w:color w:val="000000" w:themeColor="text1"/>
          <w:szCs w:val="24"/>
          <w:u w:val="single"/>
          <w14:textFill>
            <w14:solidFill>
              <w14:schemeClr w14:val="tx1"/>
            </w14:solidFill>
          </w14:textFill>
        </w:rPr>
        <w:t xml:space="preserve"> </w:t>
      </w:r>
      <w:r>
        <w:rPr>
          <w:rFonts w:hint="eastAsia" w:ascii="宋体" w:hAnsi="宋体" w:eastAsia="宋体" w:cs="宋体"/>
          <w:snapToGrid w:val="0"/>
          <w:color w:val="000000" w:themeColor="text1"/>
          <w:szCs w:val="24"/>
          <w:u w:val="single"/>
          <w:lang w:val="en-US" w:eastAsia="zh-CN"/>
          <w14:textFill>
            <w14:solidFill>
              <w14:schemeClr w14:val="tx1"/>
            </w14:solidFill>
          </w14:textFill>
        </w:rPr>
        <w:t>02</w:t>
      </w:r>
      <w:r>
        <w:rPr>
          <w:rFonts w:hint="eastAsia" w:ascii="宋体" w:hAnsi="宋体" w:eastAsia="宋体" w:cs="宋体"/>
          <w:snapToGrid w:val="0"/>
          <w:color w:val="000000" w:themeColor="text1"/>
          <w:szCs w:val="24"/>
          <w14:textFill>
            <w14:solidFill>
              <w14:schemeClr w14:val="tx1"/>
            </w14:solidFill>
          </w14:textFill>
        </w:rPr>
        <w:t>日</w:t>
      </w:r>
      <w:r>
        <w:rPr>
          <w:rFonts w:hint="eastAsia" w:ascii="宋体" w:hAnsi="宋体" w:eastAsia="宋体" w:cs="宋体"/>
          <w:snapToGrid w:val="0"/>
          <w:color w:val="000000" w:themeColor="text1"/>
          <w:szCs w:val="24"/>
          <w:u w:val="single"/>
          <w14:textFill>
            <w14:solidFill>
              <w14:schemeClr w14:val="tx1"/>
            </w14:solidFill>
          </w14:textFill>
        </w:rPr>
        <w:t xml:space="preserve"> 18:00  </w:t>
      </w:r>
      <w:r>
        <w:rPr>
          <w:rFonts w:hint="eastAsia" w:ascii="宋体" w:hAnsi="宋体" w:eastAsia="宋体" w:cs="宋体"/>
          <w:snapToGrid w:val="0"/>
          <w:color w:val="000000" w:themeColor="text1"/>
          <w:szCs w:val="24"/>
          <w14:textFill>
            <w14:solidFill>
              <w14:schemeClr w14:val="tx1"/>
            </w14:solidFill>
          </w14:textFill>
        </w:rPr>
        <w:t>时前</w:t>
      </w:r>
      <w:r>
        <w:rPr>
          <w:rFonts w:hint="eastAsia" w:ascii="宋体" w:hAnsi="宋体" w:eastAsia="宋体" w:cs="宋体"/>
          <w:b/>
          <w:snapToGrid w:val="0"/>
          <w:color w:val="000000" w:themeColor="text1"/>
          <w:szCs w:val="24"/>
          <w14:textFill>
            <w14:solidFill>
              <w14:schemeClr w14:val="tx1"/>
            </w14:solidFill>
          </w14:textFill>
        </w:rPr>
        <w:t>（收到标书时间）。</w:t>
      </w:r>
    </w:p>
    <w:p w14:paraId="5D6F606E">
      <w:pPr>
        <w:spacing w:line="360" w:lineRule="auto"/>
        <w:jc w:val="left"/>
        <w:rPr>
          <w:rFonts w:ascii="宋体" w:hAnsi="宋体" w:eastAsia="宋体" w:cs="宋体"/>
          <w:b/>
          <w:bCs/>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9</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snapToGrid w:val="0"/>
          <w:color w:val="000000" w:themeColor="text1"/>
          <w:szCs w:val="24"/>
          <w14:textFill>
            <w14:solidFill>
              <w14:schemeClr w14:val="tx1"/>
            </w14:solidFill>
          </w14:textFill>
        </w:rPr>
        <w:t>投档方式</w:t>
      </w:r>
      <w:r>
        <w:rPr>
          <w:rFonts w:hint="eastAsia" w:ascii="宋体" w:hAnsi="宋体" w:eastAsia="宋体" w:cs="宋体"/>
          <w:b/>
          <w:bCs/>
          <w:snapToGrid w:val="0"/>
          <w:color w:val="000000" w:themeColor="text1"/>
          <w:szCs w:val="24"/>
          <w:u w:val="single"/>
          <w14:textFill>
            <w14:solidFill>
              <w14:schemeClr w14:val="tx1"/>
            </w14:solidFill>
          </w14:textFill>
        </w:rPr>
        <w:t>：</w:t>
      </w:r>
      <w:r>
        <w:rPr>
          <w:rFonts w:hint="eastAsia" w:ascii="宋体" w:hAnsi="宋体" w:eastAsia="宋体" w:cs="宋体"/>
          <w:snapToGrid w:val="0"/>
          <w:color w:val="000000" w:themeColor="text1"/>
          <w:szCs w:val="24"/>
          <w:u w:val="single"/>
          <w14:textFill>
            <w14:solidFill>
              <w14:schemeClr w14:val="tx1"/>
            </w14:solidFill>
          </w14:textFill>
        </w:rPr>
        <w:t>选择第（2）电子档投递方式</w:t>
      </w:r>
    </w:p>
    <w:p w14:paraId="584B3C9F">
      <w:pPr>
        <w:spacing w:line="360" w:lineRule="auto"/>
        <w:jc w:val="left"/>
        <w:rPr>
          <w:rFonts w:ascii="宋体" w:hAnsi="宋体" w:eastAsia="宋体" w:cs="宋体"/>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（1）纸质档投递方式：投标文件须密封后于投标截止时间前送到开标地点，</w:t>
      </w:r>
      <w:r>
        <w:rPr>
          <w:rFonts w:hint="eastAsia" w:ascii="宋体" w:hAnsi="宋体" w:eastAsia="宋体" w:cs="宋体"/>
          <w:snapToGrid w:val="0"/>
          <w:color w:val="000000" w:themeColor="text1"/>
          <w:szCs w:val="24"/>
          <w14:textFill>
            <w14:solidFill>
              <w14:schemeClr w14:val="tx1"/>
            </w14:solidFill>
          </w14:textFill>
        </w:rPr>
        <w:t>快递或上门送件方式，地点</w:t>
      </w:r>
      <w:r>
        <w:rPr>
          <w:rFonts w:hint="eastAsia" w:ascii="宋体" w:hAnsi="宋体" w:eastAsia="宋体" w:cs="宋体"/>
          <w:snapToGrid w:val="0"/>
          <w:color w:val="000000" w:themeColor="text1"/>
          <w:szCs w:val="24"/>
          <w:u w:val="single"/>
          <w14:textFill>
            <w14:solidFill>
              <w14:schemeClr w14:val="tx1"/>
            </w14:solidFill>
          </w14:textFill>
        </w:rPr>
        <w:t>：</w:t>
      </w:r>
      <w:r>
        <w:rPr>
          <w:rFonts w:hint="eastAsia" w:ascii="宋体" w:hAnsi="宋体"/>
          <w:color w:val="000000"/>
          <w:szCs w:val="21"/>
          <w:u w:val="single"/>
        </w:rPr>
        <w:t>广东省茂名市高州市高州市金山开发金辉西路西南高州市绿能环保发电项目</w:t>
      </w:r>
      <w:r>
        <w:rPr>
          <w:rFonts w:hint="eastAsia" w:ascii="宋体" w:hAnsi="宋体"/>
          <w:color w:val="000000"/>
          <w:szCs w:val="21"/>
          <w:u w:val="single"/>
          <w:lang w:val="en-US" w:eastAsia="zh-CN"/>
        </w:rPr>
        <w:t>综合楼三楼物资部</w:t>
      </w:r>
      <w:r>
        <w:rPr>
          <w:rFonts w:hint="eastAsia" w:ascii="宋体" w:hAnsi="宋体" w:eastAsia="宋体" w:cs="宋体"/>
          <w:snapToGrid w:val="0"/>
          <w:color w:val="000000" w:themeColor="text1"/>
          <w:szCs w:val="24"/>
          <w:u w:val="single"/>
          <w14:textFill>
            <w14:solidFill>
              <w14:schemeClr w14:val="tx1"/>
            </w14:solidFill>
          </w14:textFill>
        </w:rPr>
        <w:t>收。</w:t>
      </w:r>
    </w:p>
    <w:p w14:paraId="2F6A215B">
      <w:pPr>
        <w:autoSpaceDE w:val="0"/>
        <w:autoSpaceDN w:val="0"/>
        <w:spacing w:line="360" w:lineRule="auto"/>
        <w:jc w:val="left"/>
        <w:rPr>
          <w:rFonts w:ascii="宋体" w:hAnsi="宋体" w:eastAsia="宋体" w:cs="宋体"/>
          <w:b/>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（2）电子档投递方式：投标截止时间</w:t>
      </w:r>
      <w:r>
        <w:rPr>
          <w:rFonts w:hint="eastAsia" w:ascii="宋体" w:hAnsi="宋体" w:eastAsia="宋体" w:cs="宋体"/>
          <w:snapToGrid w:val="0"/>
          <w:color w:val="000000" w:themeColor="text1"/>
          <w:szCs w:val="24"/>
          <w14:textFill>
            <w14:solidFill>
              <w14:schemeClr w14:val="tx1"/>
            </w14:solidFill>
          </w14:textFill>
        </w:rPr>
        <w:t>前</w:t>
      </w:r>
      <w:r>
        <w:rPr>
          <w:rFonts w:hint="eastAsia" w:ascii="宋体" w:hAnsi="宋体" w:eastAsia="宋体" w:cs="宋体"/>
          <w:color w:val="000000" w:themeColor="text1"/>
          <w:szCs w:val="24"/>
          <w14:textFill>
            <w14:solidFill>
              <w14:schemeClr w14:val="tx1"/>
            </w14:solidFill>
          </w14:textFill>
        </w:rPr>
        <w:t>登录朗坤环境官网招标采购平台</w:t>
      </w:r>
      <w:r>
        <w:rPr>
          <w:rFonts w:hint="eastAsia" w:ascii="宋体" w:hAnsi="宋体" w:eastAsia="宋体" w:cs="宋体"/>
          <w:b/>
          <w:bCs/>
          <w:color w:val="000000" w:themeColor="text1"/>
          <w:szCs w:val="24"/>
          <w:u w:val="single"/>
          <w14:textFill>
            <w14:solidFill>
              <w14:schemeClr w14:val="tx1"/>
            </w14:solidFill>
          </w14:textFill>
        </w:rPr>
        <w:t>http://ebidding.leoking.com/Bidding/list_125.aspx</w:t>
      </w:r>
      <w:r>
        <w:rPr>
          <w:rFonts w:hint="eastAsia" w:ascii="宋体" w:hAnsi="宋体" w:eastAsia="宋体" w:cs="宋体"/>
          <w:color w:val="000000" w:themeColor="text1"/>
          <w:szCs w:val="24"/>
          <w14:textFill>
            <w14:solidFill>
              <w14:schemeClr w14:val="tx1"/>
            </w14:solidFill>
          </w14:textFill>
        </w:rPr>
        <w:t xml:space="preserve"> ，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w:t>
      </w:r>
      <w:r>
        <w:rPr>
          <w:rFonts w:hint="eastAsia" w:ascii="宋体" w:hAnsi="宋体" w:eastAsia="宋体" w:cs="宋体"/>
          <w:b/>
          <w:color w:val="000000" w:themeColor="text1"/>
          <w:szCs w:val="24"/>
          <w:u w:val="single"/>
          <w14:textFill>
            <w14:solidFill>
              <w14:schemeClr w14:val="tx1"/>
            </w14:solidFill>
          </w14:textFill>
        </w:rPr>
        <w:t>投标文件压缩时要求使用密码加密，开标时再提供密码解压。投标函、</w:t>
      </w:r>
      <w:r>
        <w:rPr>
          <w:rFonts w:hint="eastAsia" w:ascii="宋体" w:hAnsi="宋体" w:eastAsia="宋体" w:cs="宋体"/>
          <w:b/>
          <w:color w:val="000000" w:themeColor="text1"/>
          <w:szCs w:val="24"/>
          <w:u w:val="single"/>
          <w:lang w:val="en-US" w:eastAsia="zh-CN"/>
          <w14:textFill>
            <w14:solidFill>
              <w14:schemeClr w14:val="tx1"/>
            </w14:solidFill>
          </w14:textFill>
        </w:rPr>
        <w:t>技术标</w:t>
      </w:r>
      <w:r>
        <w:rPr>
          <w:rFonts w:hint="eastAsia" w:ascii="宋体" w:hAnsi="宋体" w:eastAsia="宋体" w:cs="宋体"/>
          <w:b/>
          <w:color w:val="000000" w:themeColor="text1"/>
          <w:szCs w:val="24"/>
          <w:u w:val="single"/>
          <w14:textFill>
            <w14:solidFill>
              <w14:schemeClr w14:val="tx1"/>
            </w14:solidFill>
          </w14:textFill>
        </w:rPr>
        <w:t>投标书2套，纸质正本于202</w:t>
      </w:r>
      <w:r>
        <w:rPr>
          <w:rFonts w:hint="eastAsia" w:ascii="宋体" w:hAnsi="宋体" w:eastAsia="宋体" w:cs="宋体"/>
          <w:b/>
          <w:color w:val="000000" w:themeColor="text1"/>
          <w:szCs w:val="24"/>
          <w:u w:val="single"/>
          <w:lang w:val="en-US" w:eastAsia="zh-CN"/>
          <w14:textFill>
            <w14:solidFill>
              <w14:schemeClr w14:val="tx1"/>
            </w14:solidFill>
          </w14:textFill>
        </w:rPr>
        <w:t>5</w:t>
      </w:r>
      <w:r>
        <w:rPr>
          <w:rFonts w:hint="eastAsia" w:ascii="宋体" w:hAnsi="宋体" w:eastAsia="宋体" w:cs="宋体"/>
          <w:b/>
          <w:color w:val="000000" w:themeColor="text1"/>
          <w:szCs w:val="24"/>
          <w:u w:val="single"/>
          <w14:textFill>
            <w14:solidFill>
              <w14:schemeClr w14:val="tx1"/>
            </w14:solidFill>
          </w14:textFill>
        </w:rPr>
        <w:t>年0</w:t>
      </w:r>
      <w:r>
        <w:rPr>
          <w:rFonts w:hint="eastAsia" w:ascii="宋体" w:hAnsi="宋体" w:eastAsia="宋体" w:cs="宋体"/>
          <w:b/>
          <w:color w:val="000000" w:themeColor="text1"/>
          <w:szCs w:val="24"/>
          <w:u w:val="single"/>
          <w:lang w:val="en-US" w:eastAsia="zh-CN"/>
          <w14:textFill>
            <w14:solidFill>
              <w14:schemeClr w14:val="tx1"/>
            </w14:solidFill>
          </w14:textFill>
        </w:rPr>
        <w:t>7</w:t>
      </w:r>
      <w:r>
        <w:rPr>
          <w:rFonts w:hint="eastAsia" w:ascii="宋体" w:hAnsi="宋体" w:eastAsia="宋体" w:cs="宋体"/>
          <w:b/>
          <w:color w:val="000000" w:themeColor="text1"/>
          <w:szCs w:val="24"/>
          <w:u w:val="single"/>
          <w14:textFill>
            <w14:solidFill>
              <w14:schemeClr w14:val="tx1"/>
            </w14:solidFill>
          </w14:textFill>
        </w:rPr>
        <w:t>月</w:t>
      </w:r>
      <w:r>
        <w:rPr>
          <w:rFonts w:hint="eastAsia" w:ascii="宋体" w:hAnsi="宋体" w:eastAsia="宋体" w:cs="宋体"/>
          <w:b/>
          <w:color w:val="000000" w:themeColor="text1"/>
          <w:szCs w:val="24"/>
          <w:u w:val="single"/>
          <w:lang w:val="en-US" w:eastAsia="zh-CN"/>
          <w14:textFill>
            <w14:solidFill>
              <w14:schemeClr w14:val="tx1"/>
            </w14:solidFill>
          </w14:textFill>
        </w:rPr>
        <w:t>02</w:t>
      </w:r>
      <w:r>
        <w:rPr>
          <w:rFonts w:hint="eastAsia" w:ascii="宋体" w:hAnsi="宋体" w:eastAsia="宋体" w:cs="宋体"/>
          <w:b/>
          <w:color w:val="000000" w:themeColor="text1"/>
          <w:szCs w:val="24"/>
          <w:u w:val="single"/>
          <w14:textFill>
            <w14:solidFill>
              <w14:schemeClr w14:val="tx1"/>
            </w14:solidFill>
          </w14:textFill>
        </w:rPr>
        <w:t>日邮寄招标单位，方便招标人项目报审。</w:t>
      </w:r>
    </w:p>
    <w:p w14:paraId="348B10C6">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9</w:t>
      </w:r>
      <w:r>
        <w:rPr>
          <w:rFonts w:hint="eastAsia" w:ascii="宋体" w:hAnsi="宋体" w:eastAsia="宋体" w:cs="宋体"/>
          <w:color w:val="000000" w:themeColor="text1"/>
          <w:szCs w:val="24"/>
          <w14:textFill>
            <w14:solidFill>
              <w14:schemeClr w14:val="tx1"/>
            </w14:solidFill>
          </w14:textFill>
        </w:rPr>
        <w:t>.3逾期收到或不符合招标文件要求的投标文件恕不接受，开标时间另行通知。</w:t>
      </w:r>
    </w:p>
    <w:p w14:paraId="2F6217E2">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 xml:space="preserve"> </w:t>
      </w:r>
      <w:bookmarkStart w:id="30" w:name="_Toc28903"/>
      <w:bookmarkStart w:id="31" w:name="_Toc136173552"/>
      <w:r>
        <w:rPr>
          <w:rFonts w:hint="eastAsia" w:ascii="宋体" w:hAnsi="宋体" w:eastAsia="宋体" w:cs="宋体"/>
          <w:b/>
          <w:color w:val="000000" w:themeColor="text1"/>
          <w:szCs w:val="24"/>
          <w14:textFill>
            <w14:solidFill>
              <w14:schemeClr w14:val="tx1"/>
            </w14:solidFill>
          </w14:textFill>
        </w:rPr>
        <w:t>1</w:t>
      </w:r>
      <w:r>
        <w:rPr>
          <w:rFonts w:hint="eastAsia" w:ascii="宋体" w:hAnsi="宋体" w:eastAsia="宋体" w:cs="宋体"/>
          <w:b/>
          <w:color w:val="000000" w:themeColor="text1"/>
          <w:szCs w:val="24"/>
          <w:lang w:val="en-US" w:eastAsia="zh-CN"/>
          <w14:textFill>
            <w14:solidFill>
              <w14:schemeClr w14:val="tx1"/>
            </w14:solidFill>
          </w14:textFill>
        </w:rPr>
        <w:t>0</w:t>
      </w:r>
      <w:r>
        <w:rPr>
          <w:rFonts w:hint="eastAsia" w:ascii="宋体" w:hAnsi="宋体" w:eastAsia="宋体" w:cs="宋体"/>
          <w:b/>
          <w:color w:val="000000" w:themeColor="text1"/>
          <w:szCs w:val="24"/>
          <w14:textFill>
            <w14:solidFill>
              <w14:schemeClr w14:val="tx1"/>
            </w14:solidFill>
          </w14:textFill>
        </w:rPr>
        <w:t>.联系方式</w:t>
      </w:r>
      <w:bookmarkEnd w:id="30"/>
      <w:bookmarkEnd w:id="31"/>
    </w:p>
    <w:p w14:paraId="221C0E91">
      <w:pPr>
        <w:autoSpaceDE w:val="0"/>
        <w:autoSpaceDN w:val="0"/>
        <w:adjustRightInd w:val="0"/>
        <w:spacing w:line="360" w:lineRule="auto"/>
        <w:jc w:val="left"/>
        <w:rPr>
          <w:rFonts w:hint="default" w:ascii="宋体" w:hAnsi="宋体" w:eastAsia="宋体" w:cs="宋体"/>
          <w:b/>
          <w:color w:val="000000" w:themeColor="text1"/>
          <w:szCs w:val="24"/>
          <w:lang w:val="en-US" w:eastAsia="zh-CN"/>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招标人：</w:t>
      </w:r>
      <w:r>
        <w:rPr>
          <w:rFonts w:hint="eastAsia" w:ascii="宋体" w:hAnsi="宋体" w:eastAsia="宋体" w:cs="宋体"/>
          <w:b/>
          <w:color w:val="000000" w:themeColor="text1"/>
          <w:szCs w:val="24"/>
          <w:lang w:val="en-US" w:eastAsia="zh-CN"/>
          <w14:textFill>
            <w14:solidFill>
              <w14:schemeClr w14:val="tx1"/>
            </w14:solidFill>
          </w14:textFill>
        </w:rPr>
        <w:t>朗坤环保能源（茂名）有限公司</w:t>
      </w:r>
    </w:p>
    <w:p w14:paraId="18B84604">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采购部：</w:t>
      </w:r>
      <w:r>
        <w:rPr>
          <w:rFonts w:hint="eastAsia" w:ascii="宋体" w:hAnsi="宋体" w:eastAsia="宋体" w:cs="宋体"/>
          <w:color w:val="000000" w:themeColor="text1"/>
          <w:szCs w:val="24"/>
          <w:lang w:val="en-US" w:eastAsia="zh-CN"/>
          <w14:textFill>
            <w14:solidFill>
              <w14:schemeClr w14:val="tx1"/>
            </w14:solidFill>
          </w14:textFill>
        </w:rPr>
        <w:t>周占颢</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lang w:val="en-US" w:eastAsia="zh-CN"/>
          <w14:textFill>
            <w14:solidFill>
              <w14:schemeClr w14:val="tx1"/>
            </w14:solidFill>
          </w14:textFill>
        </w:rPr>
        <w:t>15077290077</w:t>
      </w:r>
      <w:r>
        <w:rPr>
          <w:rFonts w:hint="eastAsia" w:ascii="宋体" w:hAnsi="宋体" w:eastAsia="宋体" w:cs="宋体"/>
          <w:color w:val="000000" w:themeColor="text1"/>
          <w:szCs w:val="24"/>
          <w14:textFill>
            <w14:solidFill>
              <w14:schemeClr w14:val="tx1"/>
            </w14:solidFill>
          </w14:textFill>
        </w:rPr>
        <w:t xml:space="preserve"> </w:t>
      </w:r>
    </w:p>
    <w:p w14:paraId="457F3E0E">
      <w:pPr>
        <w:autoSpaceDE w:val="0"/>
        <w:autoSpaceDN w:val="0"/>
        <w:adjustRightInd w:val="0"/>
        <w:spacing w:line="360" w:lineRule="auto"/>
        <w:jc w:val="left"/>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lang w:val="en-US" w:eastAsia="zh-CN"/>
          <w14:textFill>
            <w14:solidFill>
              <w14:schemeClr w14:val="tx1"/>
            </w14:solidFill>
          </w14:textFill>
        </w:rPr>
        <w:t>627714024@qq.com</w:t>
      </w:r>
    </w:p>
    <w:p w14:paraId="76D92834">
      <w:pPr>
        <w:autoSpaceDE w:val="0"/>
        <w:autoSpaceDN w:val="0"/>
        <w:adjustRightInd w:val="0"/>
        <w:spacing w:line="360" w:lineRule="auto"/>
        <w:jc w:val="left"/>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安环</w:t>
      </w:r>
      <w:r>
        <w:rPr>
          <w:rFonts w:hint="eastAsia" w:ascii="宋体" w:hAnsi="宋体" w:eastAsia="宋体" w:cs="宋体"/>
          <w:color w:val="000000" w:themeColor="text1"/>
          <w:szCs w:val="24"/>
          <w14:textFill>
            <w14:solidFill>
              <w14:schemeClr w14:val="tx1"/>
            </w14:solidFill>
          </w14:textFill>
        </w:rPr>
        <w:t>部：</w:t>
      </w:r>
      <w:r>
        <w:rPr>
          <w:rFonts w:hint="eastAsia" w:ascii="宋体" w:hAnsi="宋体" w:eastAsia="宋体" w:cs="宋体"/>
          <w:color w:val="000000" w:themeColor="text1"/>
          <w:szCs w:val="24"/>
          <w:lang w:val="en-US" w:eastAsia="zh-CN"/>
          <w14:textFill>
            <w14:solidFill>
              <w14:schemeClr w14:val="tx1"/>
            </w14:solidFill>
          </w14:textFill>
        </w:rPr>
        <w:t>唐凯</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lang w:val="en-US" w:eastAsia="zh-CN"/>
          <w14:textFill>
            <w14:solidFill>
              <w14:schemeClr w14:val="tx1"/>
            </w14:solidFill>
          </w14:textFill>
        </w:rPr>
        <w:t>13336518997</w:t>
      </w:r>
    </w:p>
    <w:p w14:paraId="2D1677D3">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rPr>
        <w:t>tangkai131@163.com</w:t>
      </w:r>
    </w:p>
    <w:p w14:paraId="46569500">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附件详后：</w:t>
      </w:r>
    </w:p>
    <w:p w14:paraId="1F9DAB14">
      <w:pPr>
        <w:pStyle w:val="3"/>
        <w:spacing w:before="0" w:after="0" w:line="360" w:lineRule="auto"/>
        <w:ind w:firstLine="422" w:firstLineChars="200"/>
        <w:jc w:val="left"/>
        <w:rPr>
          <w:rFonts w:ascii="宋体" w:hAnsi="宋体" w:cs="宋体"/>
          <w:color w:val="000000" w:themeColor="text1"/>
          <w:sz w:val="21"/>
          <w:szCs w:val="21"/>
          <w14:textFill>
            <w14:solidFill>
              <w14:schemeClr w14:val="tx1"/>
            </w14:solidFill>
          </w14:textFill>
        </w:rPr>
        <w:sectPr>
          <w:footerReference r:id="rId7" w:type="default"/>
          <w:pgSz w:w="11907" w:h="16840"/>
          <w:pgMar w:top="1247" w:right="1361" w:bottom="1247" w:left="1361" w:header="720" w:footer="720" w:gutter="0"/>
          <w:pgNumType w:fmt="decimal" w:start="1"/>
          <w:cols w:space="720" w:num="1"/>
          <w:docGrid w:linePitch="286" w:charSpace="0"/>
        </w:sectPr>
      </w:pPr>
      <w:bookmarkStart w:id="32" w:name="_Toc176085606"/>
    </w:p>
    <w:p w14:paraId="2981864E">
      <w:pPr>
        <w:pStyle w:val="3"/>
        <w:spacing w:line="360" w:lineRule="auto"/>
        <w:jc w:val="left"/>
        <w:rPr>
          <w:rFonts w:ascii="宋体" w:hAnsi="宋体" w:cs="宋体"/>
          <w:color w:val="000000" w:themeColor="text1"/>
          <w:sz w:val="24"/>
          <w:szCs w:val="24"/>
          <w14:textFill>
            <w14:solidFill>
              <w14:schemeClr w14:val="tx1"/>
            </w14:solidFill>
          </w14:textFill>
        </w:rPr>
      </w:pPr>
      <w:bookmarkStart w:id="33" w:name="_Toc8583"/>
      <w:bookmarkStart w:id="34" w:name="_Toc136173553"/>
      <w:r>
        <w:rPr>
          <w:rFonts w:hint="eastAsia" w:ascii="宋体" w:hAnsi="宋体" w:cs="宋体"/>
          <w:color w:val="000000" w:themeColor="text1"/>
          <w:sz w:val="24"/>
          <w:szCs w:val="24"/>
          <w14:textFill>
            <w14:solidFill>
              <w14:schemeClr w14:val="tx1"/>
            </w14:solidFill>
          </w14:textFill>
        </w:rPr>
        <w:t>附件 1-1：投标意向确认书格式</w:t>
      </w:r>
      <w:bookmarkEnd w:id="32"/>
      <w:bookmarkEnd w:id="33"/>
      <w:bookmarkEnd w:id="34"/>
    </w:p>
    <w:p w14:paraId="4D3698B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lang w:val="en-US" w:eastAsia="zh-CN"/>
          <w14:textFill>
            <w14:solidFill>
              <w14:schemeClr w14:val="tx1"/>
            </w14:solidFill>
          </w14:textFill>
        </w:rPr>
        <w:t xml:space="preserve">茂名市高州市金山开发金辉 </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41083711">
      <w:pPr>
        <w:spacing w:line="360" w:lineRule="auto"/>
        <w:ind w:firstLine="787" w:firstLineChars="328"/>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西路西南高州市绿能环保发电项目</w:t>
      </w:r>
    </w:p>
    <w:p w14:paraId="7F8F337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朗坤环保能源（茂名）有限公司</w:t>
      </w:r>
      <w:r>
        <w:rPr>
          <w:rFonts w:hint="eastAsia" w:ascii="宋体" w:hAnsi="宋体" w:eastAsia="宋体" w:cs="宋体"/>
          <w:color w:val="000000" w:themeColor="text1"/>
          <w:szCs w:val="24"/>
          <w14:textFill>
            <w14:solidFill>
              <w14:schemeClr w14:val="tx1"/>
            </w14:solidFill>
          </w14:textFill>
        </w:rPr>
        <w:t xml:space="preserve">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0BD79667">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5241D039">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29554901">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5C89D1B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4E88800A">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p>
    <w:p w14:paraId="1E0C7B71">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投标意向确认书</w:t>
      </w:r>
    </w:p>
    <w:p w14:paraId="799AAFD4">
      <w:pPr>
        <w:spacing w:line="360" w:lineRule="auto"/>
        <w:rPr>
          <w:rFonts w:ascii="宋体" w:hAnsi="宋体" w:eastAsia="宋体" w:cs="宋体"/>
          <w:b/>
          <w:bCs/>
          <w:color w:val="000000" w:themeColor="text1"/>
          <w:szCs w:val="24"/>
          <w14:textFill>
            <w14:solidFill>
              <w14:schemeClr w14:val="tx1"/>
            </w14:solidFill>
          </w14:textFill>
        </w:rPr>
      </w:pPr>
    </w:p>
    <w:p w14:paraId="20CFF011">
      <w:pPr>
        <w:spacing w:line="360" w:lineRule="auto"/>
        <w:rPr>
          <w:rFonts w:ascii="宋体" w:hAnsi="宋体" w:eastAsia="宋体" w:cs="宋体"/>
          <w:color w:val="000000" w:themeColor="text1"/>
          <w:szCs w:val="24"/>
          <w14:textFill>
            <w14:solidFill>
              <w14:schemeClr w14:val="tx1"/>
            </w14:solidFill>
          </w14:textFill>
        </w:rPr>
      </w:pPr>
    </w:p>
    <w:p w14:paraId="45BC58DE">
      <w:pPr>
        <w:autoSpaceDE w:val="0"/>
        <w:autoSpaceDN w:val="0"/>
        <w:adjustRightInd w:val="0"/>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兹声明我方收到了之</w:t>
      </w:r>
      <w:r>
        <w:rPr>
          <w:rFonts w:hint="eastAsia" w:ascii="宋体" w:hAnsi="宋体" w:eastAsia="宋体" w:cs="宋体"/>
          <w:color w:val="000000" w:themeColor="text1"/>
          <w:szCs w:val="24"/>
          <w:u w:val="single"/>
          <w:lang w:val="en-US" w:eastAsia="zh-CN"/>
          <w14:textFill>
            <w14:solidFill>
              <w14:schemeClr w14:val="tx1"/>
            </w14:solidFill>
          </w14:textFill>
        </w:rPr>
        <w:t>高州</w:t>
      </w:r>
      <w:r>
        <w:rPr>
          <w:rFonts w:hint="eastAsia" w:ascii="宋体" w:hAnsi="宋体" w:eastAsia="宋体" w:cs="宋体"/>
          <w:color w:val="000000" w:themeColor="text1"/>
          <w:szCs w:val="24"/>
          <w:u w:val="single"/>
          <w14:textFill>
            <w14:solidFill>
              <w14:schemeClr w14:val="tx1"/>
            </w14:solidFill>
          </w14:textFill>
        </w:rPr>
        <w:t>项目2025年-2026年金坑飞灰填埋场运营管理及飞灰转运、填埋服务</w:t>
      </w:r>
      <w:r>
        <w:rPr>
          <w:rFonts w:hint="eastAsia" w:ascii="宋体" w:hAnsi="宋体" w:eastAsia="宋体" w:cs="宋体"/>
          <w:color w:val="000000" w:themeColor="text1"/>
          <w:szCs w:val="24"/>
          <w14:textFill>
            <w14:solidFill>
              <w14:schemeClr w14:val="tx1"/>
            </w14:solidFill>
          </w14:textFill>
        </w:rPr>
        <w:t>的完整招标文件(招标编号：</w:t>
      </w:r>
      <w:r>
        <w:rPr>
          <w:rFonts w:hint="eastAsia" w:ascii="宋体" w:hAnsi="宋体" w:eastAsia="宋体" w:cs="宋体"/>
          <w:b/>
          <w:bCs/>
          <w:color w:val="000000" w:themeColor="text1"/>
          <w:szCs w:val="24"/>
          <w:lang w:val="en-US" w:eastAsia="zh-CN"/>
          <w14:textFill>
            <w14:solidFill>
              <w14:schemeClr w14:val="tx1"/>
            </w14:solidFill>
          </w14:textFill>
        </w:rPr>
        <w:t>高州</w:t>
      </w:r>
      <w:r>
        <w:rPr>
          <w:rFonts w:hint="eastAsia" w:ascii="宋体" w:hAnsi="宋体" w:eastAsia="宋体" w:cs="宋体"/>
          <w:b/>
          <w:bCs/>
          <w:color w:val="000000" w:themeColor="text1"/>
          <w:szCs w:val="24"/>
          <w14:textFill>
            <w14:solidFill>
              <w14:schemeClr w14:val="tx1"/>
            </w14:solidFill>
          </w14:textFill>
        </w:rPr>
        <w:t>项目ITB-LK-GZFD-YY-fw-2025-057</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w:t>
      </w:r>
    </w:p>
    <w:p w14:paraId="0A8A0483">
      <w:pPr>
        <w:spacing w:line="360" w:lineRule="auto"/>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我方在此确认，将（选择1或2）：</w:t>
      </w:r>
    </w:p>
    <w:p w14:paraId="74C9469B">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1270</wp:posOffset>
                </wp:positionV>
                <wp:extent cx="159385" cy="169545"/>
                <wp:effectExtent l="8890" t="6350" r="12700" b="5080"/>
                <wp:wrapNone/>
                <wp:docPr id="1311938008" name="Rectangle 8"/>
                <wp:cNvGraphicFramePr/>
                <a:graphic xmlns:a="http://schemas.openxmlformats.org/drawingml/2006/main">
                  <a:graphicData uri="http://schemas.microsoft.com/office/word/2010/wordprocessingShape">
                    <wps:wsp>
                      <wps:cNvSpPr>
                        <a:spLocks noChangeArrowheads="1"/>
                      </wps:cNvSpPr>
                      <wps:spPr bwMode="auto">
                        <a:xfrm>
                          <a:off x="0" y="0"/>
                          <a:ext cx="159385"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7.15pt;margin-top:0.1pt;height:13.35pt;width:12.55pt;z-index:251661312;mso-width-relative:page;mso-height-relative:page;" fillcolor="#FFFFFF" filled="t" stroked="t" coordsize="21600,21600" o:gfxdata="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AvaWTUAAAABQEAAA8AAAAAAAAAAQAgAAAAIgAAAGRycy9kb3ducmV2LnhtbFBLAQIU&#10;ABQAAAAIAIdO4kDmrHmXMAIAAHoEAAAOAAAAAAAAAAEAIAAAACMBAABkcnMvZTJvRG9jLnhtbFBL&#10;BQYAAAAABgAGAFkBAADFBQ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1不参与本次招标，因为_________________________________。</w:t>
      </w:r>
    </w:p>
    <w:p w14:paraId="0F5E7ED5">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1905</wp:posOffset>
                </wp:positionV>
                <wp:extent cx="156210" cy="169545"/>
                <wp:effectExtent l="6985" t="8255" r="8255" b="12700"/>
                <wp:wrapNone/>
                <wp:docPr id="588729471" name="Rectangle 9"/>
                <wp:cNvGraphicFramePr/>
                <a:graphic xmlns:a="http://schemas.openxmlformats.org/drawingml/2006/main">
                  <a:graphicData uri="http://schemas.microsoft.com/office/word/2010/wordprocessingShape">
                    <wps:wsp>
                      <wps:cNvSpPr>
                        <a:spLocks noChangeArrowheads="1"/>
                      </wps:cNvSpPr>
                      <wps:spPr bwMode="auto">
                        <a:xfrm>
                          <a:off x="0" y="0"/>
                          <a:ext cx="156210"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7pt;margin-top:0.15pt;height:13.35pt;width:12.3pt;z-index:251662336;mso-width-relative:page;mso-height-relative:page;" fillcolor="#FFFFFF" filled="t" stroked="t" coordsize="21600,21600" o:gfxdata="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I3L9UAAAAFAQAADwAAAAAAAAABACAAAAAiAAAAZHJzL2Rvd25yZXYueG1sUEsBAhQA&#10;FAAAAAgAh07iQLor0O0uAgAAeQQAAA4AAAAAAAAAAQAgAAAAJAEAAGRycy9lMm9Eb2MueG1sUEsF&#10;BgAAAAAGAAYAWQEAAMQFA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2按招标文件的要求编制投标文件，并按规定的日期和时间提交我们的投标文件。</w:t>
      </w:r>
    </w:p>
    <w:p w14:paraId="24997655">
      <w:pPr>
        <w:pStyle w:val="32"/>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注：确认办法是在以上数字前的方框内划</w:t>
      </w:r>
      <w:r>
        <w:rPr>
          <w:rFonts w:hint="eastAsia" w:ascii="宋体" w:hAnsi="宋体" w:eastAsia="宋体" w:cs="宋体"/>
          <w:color w:val="000000" w:themeColor="text1"/>
          <w:sz w:val="24"/>
          <w:szCs w:val="24"/>
          <w14:textFill>
            <w14:solidFill>
              <w14:schemeClr w14:val="tx1"/>
            </w14:solidFill>
          </w14:textFill>
        </w:rPr>
        <w:sym w:font="Symbol" w:char="F0D6"/>
      </w:r>
      <w:r>
        <w:rPr>
          <w:rFonts w:hint="eastAsia" w:ascii="宋体" w:hAnsi="宋体" w:eastAsia="宋体" w:cs="宋体"/>
          <w:color w:val="000000" w:themeColor="text1"/>
          <w:sz w:val="24"/>
          <w:szCs w:val="24"/>
          <w14:textFill>
            <w14:solidFill>
              <w14:schemeClr w14:val="tx1"/>
            </w14:solidFill>
          </w14:textFill>
        </w:rPr>
        <w:t xml:space="preserve">  。</w:t>
      </w:r>
    </w:p>
    <w:p w14:paraId="03B58D29">
      <w:pPr>
        <w:spacing w:line="360" w:lineRule="auto"/>
        <w:ind w:firstLine="480"/>
        <w:rPr>
          <w:rFonts w:ascii="宋体" w:hAnsi="宋体" w:eastAsia="宋体" w:cs="宋体"/>
          <w:color w:val="000000" w:themeColor="text1"/>
          <w:szCs w:val="24"/>
          <w14:textFill>
            <w14:solidFill>
              <w14:schemeClr w14:val="tx1"/>
            </w14:solidFill>
          </w14:textFill>
        </w:rPr>
      </w:pPr>
    </w:p>
    <w:p w14:paraId="329580D7">
      <w:pPr>
        <w:spacing w:line="360" w:lineRule="auto"/>
        <w:ind w:firstLine="480"/>
        <w:rPr>
          <w:rFonts w:ascii="宋体" w:hAnsi="宋体" w:eastAsia="宋体" w:cs="宋体"/>
          <w:color w:val="000000" w:themeColor="text1"/>
          <w:szCs w:val="24"/>
          <w14:textFill>
            <w14:solidFill>
              <w14:schemeClr w14:val="tx1"/>
            </w14:solidFill>
          </w14:textFill>
        </w:rPr>
      </w:pPr>
    </w:p>
    <w:p w14:paraId="35F2251D">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147776E4">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59C76F12">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4BA81343">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0246FEB3">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 xml:space="preserve">               </w:t>
      </w:r>
    </w:p>
    <w:p w14:paraId="7690910B">
      <w:pPr>
        <w:pStyle w:val="3"/>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35" w:name="_Toc176085607"/>
      <w:bookmarkStart w:id="36" w:name="_Toc174978534"/>
      <w:bookmarkStart w:id="37" w:name="_Toc5061"/>
      <w:bookmarkStart w:id="38" w:name="_Toc174340230"/>
      <w:bookmarkStart w:id="39" w:name="_Toc136173554"/>
      <w:r>
        <w:rPr>
          <w:rFonts w:hint="eastAsia" w:ascii="宋体" w:hAnsi="宋体" w:cs="宋体"/>
          <w:color w:val="000000" w:themeColor="text1"/>
          <w:sz w:val="24"/>
          <w:szCs w:val="24"/>
          <w14:textFill>
            <w14:solidFill>
              <w14:schemeClr w14:val="tx1"/>
            </w14:solidFill>
          </w14:textFill>
        </w:rPr>
        <w:t>附件 1-2：投标联系人确认书格式</w:t>
      </w:r>
      <w:bookmarkEnd w:id="35"/>
      <w:bookmarkEnd w:id="36"/>
      <w:bookmarkEnd w:id="37"/>
      <w:bookmarkEnd w:id="38"/>
      <w:bookmarkEnd w:id="39"/>
    </w:p>
    <w:p w14:paraId="4F7AD80F">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lang w:val="en-US" w:eastAsia="zh-CN"/>
          <w14:textFill>
            <w14:solidFill>
              <w14:schemeClr w14:val="tx1"/>
            </w14:solidFill>
          </w14:textFill>
        </w:rPr>
        <w:t xml:space="preserve">茂名市高州市金山开发金辉 </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38E53DD4">
      <w:pPr>
        <w:spacing w:line="360" w:lineRule="auto"/>
        <w:ind w:firstLine="787" w:firstLineChars="328"/>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西路西南高州市绿能环保发电项目</w:t>
      </w:r>
    </w:p>
    <w:p w14:paraId="399D4D40">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朗坤环保能源（茂名）有限公司</w:t>
      </w:r>
      <w:r>
        <w:rPr>
          <w:rFonts w:hint="eastAsia" w:ascii="宋体" w:hAnsi="宋体" w:eastAsia="宋体" w:cs="宋体"/>
          <w:color w:val="000000" w:themeColor="text1"/>
          <w:szCs w:val="24"/>
          <w14:textFill>
            <w14:solidFill>
              <w14:schemeClr w14:val="tx1"/>
            </w14:solidFill>
          </w14:textFill>
        </w:rPr>
        <w:t xml:space="preserve">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09851DD5">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71F064F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1166941F">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500C7BF7">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350E744A">
      <w:pPr>
        <w:spacing w:line="360" w:lineRule="auto"/>
        <w:rPr>
          <w:rFonts w:ascii="宋体" w:hAnsi="宋体" w:eastAsia="宋体" w:cs="宋体"/>
          <w:color w:val="000000" w:themeColor="text1"/>
          <w:szCs w:val="24"/>
          <w14:textFill>
            <w14:solidFill>
              <w14:schemeClr w14:val="tx1"/>
            </w14:solidFill>
          </w14:textFill>
        </w:rPr>
      </w:pPr>
    </w:p>
    <w:p w14:paraId="391C77CE">
      <w:pPr>
        <w:spacing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投标联系人确认书</w:t>
      </w:r>
    </w:p>
    <w:p w14:paraId="2DA57E17">
      <w:pPr>
        <w:spacing w:line="360" w:lineRule="auto"/>
        <w:rPr>
          <w:rFonts w:ascii="宋体" w:hAnsi="宋体" w:eastAsia="宋体" w:cs="宋体"/>
          <w:b/>
          <w:color w:val="000000" w:themeColor="text1"/>
          <w:szCs w:val="24"/>
          <w14:textFill>
            <w14:solidFill>
              <w14:schemeClr w14:val="tx1"/>
            </w14:solidFill>
          </w14:textFill>
        </w:rPr>
      </w:pPr>
    </w:p>
    <w:p w14:paraId="053E13A8">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兹声明我方将按招标文件(招标编号：</w:t>
      </w:r>
      <w:r>
        <w:rPr>
          <w:rFonts w:hint="eastAsia" w:ascii="宋体" w:hAnsi="宋体" w:eastAsia="宋体" w:cs="宋体"/>
          <w:color w:val="000000" w:themeColor="text1"/>
          <w:szCs w:val="24"/>
          <w:lang w:val="en-US" w:eastAsia="zh-CN"/>
          <w14:textFill>
            <w14:solidFill>
              <w14:schemeClr w14:val="tx1"/>
            </w14:solidFill>
          </w14:textFill>
        </w:rPr>
        <w:t>高州</w:t>
      </w:r>
      <w:r>
        <w:rPr>
          <w:rFonts w:hint="eastAsia" w:ascii="宋体" w:hAnsi="宋体" w:eastAsia="宋体" w:cs="宋体"/>
          <w:color w:val="000000" w:themeColor="text1"/>
          <w:szCs w:val="24"/>
          <w14:textFill>
            <w14:solidFill>
              <w14:schemeClr w14:val="tx1"/>
            </w14:solidFill>
          </w14:textFill>
        </w:rPr>
        <w:t>项目</w:t>
      </w:r>
      <w:r>
        <w:rPr>
          <w:rFonts w:hint="eastAsia" w:ascii="宋体" w:hAnsi="宋体" w:eastAsia="宋体" w:cs="宋体"/>
          <w:b/>
          <w:bCs/>
          <w:color w:val="000000" w:themeColor="text1"/>
          <w:szCs w:val="24"/>
          <w14:textFill>
            <w14:solidFill>
              <w14:schemeClr w14:val="tx1"/>
            </w14:solidFill>
          </w14:textFill>
        </w:rPr>
        <w:t>ITB-LK-GZFD-YY-fw-2025-057</w:t>
      </w:r>
      <w:r>
        <w:rPr>
          <w:rFonts w:hint="eastAsia" w:ascii="宋体" w:hAnsi="宋体" w:eastAsia="宋体" w:cs="宋体"/>
          <w:color w:val="000000" w:themeColor="text1"/>
          <w:szCs w:val="24"/>
          <w14:textFill>
            <w14:solidFill>
              <w14:schemeClr w14:val="tx1"/>
            </w14:solidFill>
          </w14:textFill>
        </w:rPr>
        <w:t xml:space="preserve"> )的要求编制投标文件，并按规定的日期和时间提交我们的投标文件。同时，我方指定</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（先生/女士）为本次投标过程的委托代理人。具体情况如下：</w:t>
      </w:r>
    </w:p>
    <w:p w14:paraId="286A1014">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本人</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 xml:space="preserve">（姓名）系 </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公司的法定代表人，现委托本单位人员</w:t>
      </w:r>
      <w:r>
        <w:rPr>
          <w:rFonts w:hint="eastAsia" w:ascii="宋体" w:hAnsi="宋体" w:eastAsia="宋体" w:cs="宋体"/>
          <w:bCs/>
          <w:color w:val="000000" w:themeColor="text1"/>
          <w:kern w:val="0"/>
          <w:szCs w:val="24"/>
          <w:u w:val="single"/>
          <w14:textFill>
            <w14:solidFill>
              <w14:schemeClr w14:val="tx1"/>
            </w14:solidFill>
          </w14:textFill>
        </w:rPr>
        <w:t xml:space="preserve">（姓名），身份证号码：       手机号码：                     </w:t>
      </w:r>
      <w:r>
        <w:rPr>
          <w:rFonts w:hint="eastAsia" w:ascii="宋体" w:hAnsi="宋体" w:eastAsia="宋体" w:cs="宋体"/>
          <w:bCs/>
          <w:color w:val="000000" w:themeColor="text1"/>
          <w:kern w:val="0"/>
          <w:szCs w:val="24"/>
          <w14:textFill>
            <w14:solidFill>
              <w14:schemeClr w14:val="tx1"/>
            </w14:solidFill>
          </w14:textFill>
        </w:rPr>
        <w:t xml:space="preserve">   为我方代理人。代理人根据授权，以我方名义参与贵司</w:t>
      </w:r>
      <w:r>
        <w:rPr>
          <w:rFonts w:hint="eastAsia" w:ascii="宋体" w:hAnsi="宋体" w:eastAsia="宋体" w:cs="宋体"/>
          <w:color w:val="000000" w:themeColor="text1"/>
          <w:szCs w:val="24"/>
          <w:u w:val="single"/>
          <w:lang w:val="en-US" w:eastAsia="zh-CN"/>
          <w14:textFill>
            <w14:solidFill>
              <w14:schemeClr w14:val="tx1"/>
            </w14:solidFill>
          </w14:textFill>
        </w:rPr>
        <w:t>高州</w:t>
      </w:r>
      <w:r>
        <w:rPr>
          <w:rFonts w:hint="eastAsia" w:ascii="宋体" w:hAnsi="宋体" w:eastAsia="宋体" w:cs="宋体"/>
          <w:color w:val="000000" w:themeColor="text1"/>
          <w:szCs w:val="24"/>
          <w:u w:val="single"/>
          <w14:textFill>
            <w14:solidFill>
              <w14:schemeClr w14:val="tx1"/>
            </w14:solidFill>
          </w14:textFill>
        </w:rPr>
        <w:t>项目2025年-2026年金坑飞灰填埋场运营管理及飞灰转运、填埋服务</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的投标工作及处理有关商务报价事宜。我司接受电子档招标文件，请将相关招标资料发送至</w:t>
      </w:r>
    </w:p>
    <w:p w14:paraId="218C5C89">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邮箱地址：</w:t>
      </w:r>
      <w:r>
        <w:rPr>
          <w:rFonts w:hint="eastAsia" w:ascii="宋体" w:hAnsi="宋体" w:eastAsia="宋体" w:cs="宋体"/>
          <w:bCs/>
          <w:color w:val="000000" w:themeColor="text1"/>
          <w:kern w:val="0"/>
          <w:szCs w:val="24"/>
          <w:u w:val="single"/>
          <w14:textFill>
            <w14:solidFill>
              <w14:schemeClr w14:val="tx1"/>
            </w14:solidFill>
          </w14:textFill>
        </w:rPr>
        <w:t xml:space="preserve">                      </w:t>
      </w:r>
    </w:p>
    <w:p w14:paraId="3444B5AC">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代理人无转委托权。</w:t>
      </w:r>
    </w:p>
    <w:p w14:paraId="3F22853D">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公司名称：</w:t>
      </w:r>
      <w:r>
        <w:rPr>
          <w:rFonts w:hint="eastAsia" w:ascii="宋体" w:hAnsi="宋体" w:eastAsia="宋体" w:cs="宋体"/>
          <w:color w:val="000000" w:themeColor="text1"/>
          <w:szCs w:val="24"/>
          <w:u w:val="single"/>
          <w14:textFill>
            <w14:solidFill>
              <w14:schemeClr w14:val="tx1"/>
            </w14:solidFill>
          </w14:textFill>
        </w:rPr>
        <w:t xml:space="preserve">                         </w:t>
      </w:r>
    </w:p>
    <w:p w14:paraId="5290E1AA">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r>
        <w:rPr>
          <w:rFonts w:hint="eastAsia" w:ascii="宋体" w:hAnsi="宋体" w:eastAsia="宋体" w:cs="宋体"/>
          <w:color w:val="000000" w:themeColor="text1"/>
          <w:szCs w:val="24"/>
          <w:u w:val="single"/>
          <w14:textFill>
            <w14:solidFill>
              <w14:schemeClr w14:val="tx1"/>
            </w14:solidFill>
          </w14:textFill>
        </w:rPr>
        <w:t xml:space="preserve">                           </w:t>
      </w:r>
    </w:p>
    <w:p w14:paraId="10DC6CEA">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联系电话：</w:t>
      </w:r>
      <w:r>
        <w:rPr>
          <w:rFonts w:hint="eastAsia" w:ascii="宋体" w:hAnsi="宋体" w:eastAsia="宋体" w:cs="宋体"/>
          <w:color w:val="000000" w:themeColor="text1"/>
          <w:szCs w:val="24"/>
          <w:u w:val="single"/>
          <w14:textFill>
            <w14:solidFill>
              <w14:schemeClr w14:val="tx1"/>
            </w14:solidFill>
          </w14:textFill>
        </w:rPr>
        <w:t xml:space="preserve">                         </w:t>
      </w:r>
    </w:p>
    <w:p w14:paraId="29FEE6FB">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szCs w:val="24"/>
          <w:u w:val="single"/>
          <w14:textFill>
            <w14:solidFill>
              <w14:schemeClr w14:val="tx1"/>
            </w14:solidFill>
          </w14:textFill>
        </w:rPr>
        <w:t xml:space="preserve">                             </w:t>
      </w:r>
    </w:p>
    <w:p w14:paraId="49A2FAED">
      <w:pPr>
        <w:spacing w:line="360" w:lineRule="auto"/>
        <w:jc w:val="right"/>
        <w:rPr>
          <w:rFonts w:ascii="宋体" w:hAnsi="宋体" w:eastAsia="宋体" w:cs="宋体"/>
          <w:color w:val="000000" w:themeColor="text1"/>
          <w:szCs w:val="24"/>
          <w14:textFill>
            <w14:solidFill>
              <w14:schemeClr w14:val="tx1"/>
            </w14:solidFill>
          </w14:textFill>
        </w:rPr>
      </w:pPr>
    </w:p>
    <w:p w14:paraId="2E1B9759">
      <w:pPr>
        <w:spacing w:line="360" w:lineRule="auto"/>
        <w:ind w:right="480" w:firstLine="5400" w:firstLineChars="22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21AC0B3E">
      <w:pPr>
        <w:pStyle w:val="18"/>
        <w:spacing w:before="0" w:after="0"/>
        <w:ind w:right="480" w:firstLine="5400" w:firstLineChars="2250"/>
        <w:rPr>
          <w:rFonts w:cs="宋体"/>
          <w:bCs/>
          <w:color w:val="000000" w:themeColor="text1"/>
          <w:szCs w:val="24"/>
          <w:lang w:val="en-GB"/>
          <w14:textFill>
            <w14:solidFill>
              <w14:schemeClr w14:val="tx1"/>
            </w14:solidFill>
          </w14:textFill>
        </w:rPr>
      </w:pPr>
      <w:r>
        <w:rPr>
          <w:rFonts w:hint="eastAsia" w:cs="宋体"/>
          <w:bCs/>
          <w:color w:val="000000" w:themeColor="text1"/>
          <w:szCs w:val="24"/>
          <w14:textFill>
            <w14:solidFill>
              <w14:schemeClr w14:val="tx1"/>
            </w14:solidFill>
          </w14:textFill>
        </w:rPr>
        <w:t>日期：</w:t>
      </w:r>
      <w:r>
        <w:rPr>
          <w:rFonts w:hint="eastAsia" w:cs="宋体"/>
          <w:bCs/>
          <w:color w:val="000000" w:themeColor="text1"/>
          <w:szCs w:val="24"/>
          <w:u w:val="single"/>
          <w14:textFill>
            <w14:solidFill>
              <w14:schemeClr w14:val="tx1"/>
            </w14:solidFill>
          </w14:textFill>
        </w:rPr>
        <w:t xml:space="preserve">               </w:t>
      </w:r>
    </w:p>
    <w:p w14:paraId="5035843E">
      <w:pPr>
        <w:spacing w:line="360" w:lineRule="auto"/>
        <w:rPr>
          <w:rFonts w:ascii="宋体" w:hAnsi="宋体" w:eastAsia="宋体" w:cs="宋体"/>
          <w:color w:val="000000" w:themeColor="text1"/>
          <w:sz w:val="21"/>
          <w:szCs w:val="21"/>
          <w14:textFill>
            <w14:solidFill>
              <w14:schemeClr w14:val="tx1"/>
            </w14:solidFill>
          </w14:textFill>
        </w:rPr>
      </w:pPr>
    </w:p>
    <w:p w14:paraId="5048F16A">
      <w:pPr>
        <w:spacing w:line="360" w:lineRule="auto"/>
        <w:rPr>
          <w:rFonts w:ascii="宋体" w:hAnsi="宋体" w:eastAsia="宋体" w:cs="宋体"/>
          <w:color w:val="000000" w:themeColor="text1"/>
          <w14:textFill>
            <w14:solidFill>
              <w14:schemeClr w14:val="tx1"/>
            </w14:solidFill>
          </w14:textFill>
        </w:rPr>
      </w:pPr>
    </w:p>
    <w:p w14:paraId="4AF49412">
      <w:pPr>
        <w:pStyle w:val="2"/>
        <w:numPr>
          <w:ilvl w:val="0"/>
          <w:numId w:val="1"/>
        </w:numPr>
        <w:spacing w:before="120" w:beforeLines="50" w:after="120" w:afterLines="50"/>
        <w:ind w:left="1066" w:hanging="1066"/>
        <w:rPr>
          <w:rFonts w:ascii="宋体" w:hAnsi="宋体" w:eastAsia="宋体" w:cs="宋体"/>
          <w:color w:val="000000" w:themeColor="text1"/>
          <w:sz w:val="28"/>
          <w:szCs w:val="28"/>
          <w14:textFill>
            <w14:solidFill>
              <w14:schemeClr w14:val="tx1"/>
            </w14:solidFill>
          </w14:textFill>
        </w:rPr>
      </w:pPr>
      <w:bookmarkStart w:id="40" w:name="_Toc176085608"/>
      <w:bookmarkStart w:id="41" w:name="_Toc136173555"/>
      <w:bookmarkStart w:id="42" w:name="_Toc17117"/>
      <w:r>
        <w:rPr>
          <w:rFonts w:hint="eastAsia" w:ascii="宋体" w:hAnsi="宋体" w:eastAsia="宋体" w:cs="宋体"/>
          <w:color w:val="000000" w:themeColor="text1"/>
          <w:sz w:val="32"/>
          <w:szCs w:val="32"/>
          <w14:textFill>
            <w14:solidFill>
              <w14:schemeClr w14:val="tx1"/>
            </w14:solidFill>
          </w14:textFill>
        </w:rPr>
        <w:t>投标须知</w:t>
      </w:r>
      <w:bookmarkEnd w:id="40"/>
      <w:bookmarkEnd w:id="41"/>
      <w:bookmarkEnd w:id="42"/>
    </w:p>
    <w:p w14:paraId="6623D06C">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43" w:name="_Toc246996174"/>
      <w:bookmarkStart w:id="44" w:name="_Toc246996917"/>
      <w:bookmarkStart w:id="45" w:name="_Toc144974496"/>
      <w:bookmarkStart w:id="46" w:name="_Toc179632545"/>
      <w:bookmarkStart w:id="47" w:name="_Toc296602419"/>
      <w:bookmarkStart w:id="48" w:name="_Toc152042304"/>
      <w:bookmarkStart w:id="49" w:name="_Toc152045528"/>
      <w:bookmarkStart w:id="50" w:name="_Toc247085688"/>
      <w:bookmarkStart w:id="51" w:name="_Toc11660"/>
      <w:bookmarkStart w:id="52" w:name="_Toc136173556"/>
      <w:r>
        <w:rPr>
          <w:rFonts w:hint="eastAsia" w:ascii="宋体" w:hAnsi="宋体" w:cs="宋体"/>
          <w:color w:val="000000" w:themeColor="text1"/>
          <w14:textFill>
            <w14:solidFill>
              <w14:schemeClr w14:val="tx1"/>
            </w14:solidFill>
          </w14:textFill>
        </w:rPr>
        <w:t>第一部分 投标人须知前附表</w:t>
      </w:r>
      <w:bookmarkEnd w:id="43"/>
      <w:bookmarkEnd w:id="44"/>
      <w:bookmarkEnd w:id="45"/>
      <w:bookmarkEnd w:id="46"/>
      <w:bookmarkEnd w:id="47"/>
      <w:bookmarkEnd w:id="48"/>
      <w:bookmarkEnd w:id="49"/>
      <w:bookmarkEnd w:id="50"/>
      <w:bookmarkEnd w:id="51"/>
      <w:bookmarkEnd w:id="52"/>
    </w:p>
    <w:tbl>
      <w:tblPr>
        <w:tblStyle w:val="48"/>
        <w:tblW w:w="9606" w:type="dxa"/>
        <w:tblInd w:w="0" w:type="dxa"/>
        <w:tblLayout w:type="fixed"/>
        <w:tblCellMar>
          <w:top w:w="0" w:type="dxa"/>
          <w:left w:w="108" w:type="dxa"/>
          <w:bottom w:w="0" w:type="dxa"/>
          <w:right w:w="108" w:type="dxa"/>
        </w:tblCellMar>
      </w:tblPr>
      <w:tblGrid>
        <w:gridCol w:w="1526"/>
        <w:gridCol w:w="2126"/>
        <w:gridCol w:w="5954"/>
      </w:tblGrid>
      <w:tr w14:paraId="7B4DE237">
        <w:tblPrEx>
          <w:tblCellMar>
            <w:top w:w="0" w:type="dxa"/>
            <w:left w:w="108" w:type="dxa"/>
            <w:bottom w:w="0" w:type="dxa"/>
            <w:right w:w="108" w:type="dxa"/>
          </w:tblCellMar>
        </w:tblPrEx>
        <w:trPr>
          <w:tblHeader/>
        </w:trPr>
        <w:tc>
          <w:tcPr>
            <w:tcW w:w="1526" w:type="dxa"/>
            <w:tcBorders>
              <w:top w:val="single" w:color="auto" w:sz="4" w:space="0"/>
              <w:left w:val="single" w:color="auto" w:sz="4" w:space="0"/>
              <w:bottom w:val="single" w:color="auto" w:sz="4" w:space="0"/>
              <w:right w:val="single" w:color="auto" w:sz="4" w:space="0"/>
            </w:tcBorders>
            <w:vAlign w:val="center"/>
          </w:tcPr>
          <w:p w14:paraId="53EF42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2126" w:type="dxa"/>
            <w:tcBorders>
              <w:top w:val="single" w:color="auto" w:sz="4" w:space="0"/>
              <w:left w:val="single" w:color="auto" w:sz="4" w:space="0"/>
              <w:bottom w:val="single" w:color="auto" w:sz="4" w:space="0"/>
              <w:right w:val="single" w:color="auto" w:sz="4" w:space="0"/>
            </w:tcBorders>
            <w:vAlign w:val="center"/>
          </w:tcPr>
          <w:p w14:paraId="6019F96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  款  名  称</w:t>
            </w:r>
          </w:p>
        </w:tc>
        <w:tc>
          <w:tcPr>
            <w:tcW w:w="5954" w:type="dxa"/>
            <w:tcBorders>
              <w:top w:val="single" w:color="auto" w:sz="4" w:space="0"/>
              <w:left w:val="single" w:color="auto" w:sz="4" w:space="0"/>
              <w:bottom w:val="single" w:color="auto" w:sz="4" w:space="0"/>
              <w:right w:val="single" w:color="auto" w:sz="4" w:space="0"/>
            </w:tcBorders>
            <w:vAlign w:val="center"/>
          </w:tcPr>
          <w:p w14:paraId="4AF71F5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  列  内  容</w:t>
            </w:r>
          </w:p>
        </w:tc>
      </w:tr>
      <w:tr w14:paraId="7CB79F0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5D0D6F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第一章1</w:t>
            </w:r>
          </w:p>
        </w:tc>
        <w:tc>
          <w:tcPr>
            <w:tcW w:w="2126" w:type="dxa"/>
            <w:tcBorders>
              <w:top w:val="single" w:color="auto" w:sz="4" w:space="0"/>
              <w:left w:val="single" w:color="auto" w:sz="4" w:space="0"/>
              <w:bottom w:val="single" w:color="auto" w:sz="4" w:space="0"/>
              <w:right w:val="single" w:color="auto" w:sz="4" w:space="0"/>
            </w:tcBorders>
            <w:vAlign w:val="center"/>
          </w:tcPr>
          <w:p w14:paraId="157BE92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w:t>
            </w:r>
          </w:p>
        </w:tc>
        <w:tc>
          <w:tcPr>
            <w:tcW w:w="5954" w:type="dxa"/>
            <w:tcBorders>
              <w:top w:val="single" w:color="auto" w:sz="4" w:space="0"/>
              <w:left w:val="single" w:color="auto" w:sz="4" w:space="0"/>
              <w:bottom w:val="single" w:color="auto" w:sz="4" w:space="0"/>
              <w:right w:val="single" w:color="auto" w:sz="4" w:space="0"/>
            </w:tcBorders>
            <w:vAlign w:val="center"/>
          </w:tcPr>
          <w:p w14:paraId="51BA92BF">
            <w:pPr>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lang w:val="en-US" w:eastAsia="zh-CN"/>
                <w14:textFill>
                  <w14:solidFill>
                    <w14:schemeClr w14:val="tx1"/>
                  </w14:solidFill>
                </w14:textFill>
              </w:rPr>
              <w:t>朗坤环保能源（茂名）有限公司</w:t>
            </w:r>
          </w:p>
          <w:p w14:paraId="7379FADF">
            <w:pPr>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shd w:val="clear" w:color="auto" w:fill="FFFFFF"/>
                <w14:textFill>
                  <w14:solidFill>
                    <w14:schemeClr w14:val="tx1"/>
                  </w14:solidFill>
                </w14:textFill>
              </w:rPr>
              <w:t>广东省茂名市高州市金山开发区金辉西路西南朗坤垃圾电厂</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综合楼二楼</w:t>
            </w:r>
          </w:p>
          <w:p w14:paraId="18BFD995">
            <w:pPr>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w:t>
            </w:r>
            <w:r>
              <w:rPr>
                <w:rFonts w:hint="eastAsia" w:ascii="宋体" w:hAnsi="宋体" w:eastAsia="宋体" w:cs="宋体"/>
                <w:color w:val="000000" w:themeColor="text1"/>
                <w:sz w:val="21"/>
                <w:szCs w:val="21"/>
                <w:lang w:val="en-US" w:eastAsia="zh-CN"/>
                <w14:textFill>
                  <w14:solidFill>
                    <w14:schemeClr w14:val="tx1"/>
                  </w14:solidFill>
                </w14:textFill>
              </w:rPr>
              <w:t>周占颢</w:t>
            </w:r>
          </w:p>
          <w:p w14:paraId="3CDB1D22">
            <w:pPr>
              <w:spacing w:line="360" w:lineRule="auto"/>
              <w:jc w:val="left"/>
              <w:rPr>
                <w:rFonts w:hint="default" w:eastAsia="宋体"/>
                <w:lang w:val="en-US" w:eastAsia="zh-CN"/>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lang w:val="en-US" w:eastAsia="zh-CN"/>
                <w14:textFill>
                  <w14:solidFill>
                    <w14:schemeClr w14:val="tx1"/>
                  </w14:solidFill>
                </w14:textFill>
              </w:rPr>
              <w:t>15077290077</w:t>
            </w:r>
          </w:p>
        </w:tc>
      </w:tr>
      <w:tr w14:paraId="00515C9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6CA769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第一章2.1.1</w:t>
            </w:r>
          </w:p>
        </w:tc>
        <w:tc>
          <w:tcPr>
            <w:tcW w:w="2126" w:type="dxa"/>
            <w:tcBorders>
              <w:top w:val="single" w:color="auto" w:sz="4" w:space="0"/>
              <w:left w:val="single" w:color="auto" w:sz="4" w:space="0"/>
              <w:bottom w:val="single" w:color="auto" w:sz="4" w:space="0"/>
              <w:right w:val="single" w:color="auto" w:sz="4" w:space="0"/>
            </w:tcBorders>
            <w:vAlign w:val="center"/>
          </w:tcPr>
          <w:p w14:paraId="40BE800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0186E634">
            <w:pPr>
              <w:spacing w:line="360" w:lineRule="auto"/>
              <w:jc w:val="left"/>
              <w:rPr>
                <w:rFonts w:hint="default" w:ascii="宋体" w:hAnsi="宋体" w:eastAsia="宋体" w:cs="宋体"/>
                <w:color w:val="000000" w:themeColor="text1"/>
                <w:sz w:val="2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高州</w:t>
            </w:r>
            <w:r>
              <w:rPr>
                <w:rFonts w:hint="eastAsia" w:ascii="宋体" w:hAnsi="宋体" w:eastAsia="宋体" w:cs="宋体"/>
                <w:color w:val="000000" w:themeColor="text1"/>
                <w:sz w:val="21"/>
                <w:szCs w:val="21"/>
                <w:shd w:val="clear" w:color="auto" w:fill="FFFFFF"/>
                <w14:textFill>
                  <w14:solidFill>
                    <w14:schemeClr w14:val="tx1"/>
                  </w14:solidFill>
                </w14:textFill>
              </w:rPr>
              <w:t>项目：</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高州市绿能环保发电厂</w:t>
            </w:r>
          </w:p>
          <w:p w14:paraId="1F41EC31">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p>
        </w:tc>
      </w:tr>
      <w:tr w14:paraId="3E97F49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D2F584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第一章2.1.2</w:t>
            </w:r>
          </w:p>
        </w:tc>
        <w:tc>
          <w:tcPr>
            <w:tcW w:w="2126" w:type="dxa"/>
            <w:tcBorders>
              <w:top w:val="single" w:color="auto" w:sz="4" w:space="0"/>
              <w:left w:val="single" w:color="auto" w:sz="4" w:space="0"/>
              <w:bottom w:val="single" w:color="auto" w:sz="4" w:space="0"/>
              <w:right w:val="single" w:color="auto" w:sz="4" w:space="0"/>
            </w:tcBorders>
            <w:vAlign w:val="center"/>
          </w:tcPr>
          <w:p w14:paraId="5A6460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p>
        </w:tc>
        <w:tc>
          <w:tcPr>
            <w:tcW w:w="5954" w:type="dxa"/>
            <w:tcBorders>
              <w:top w:val="single" w:color="auto" w:sz="4" w:space="0"/>
              <w:left w:val="single" w:color="auto" w:sz="4" w:space="0"/>
              <w:bottom w:val="single" w:color="auto" w:sz="4" w:space="0"/>
              <w:right w:val="single" w:color="auto" w:sz="4" w:space="0"/>
            </w:tcBorders>
            <w:vAlign w:val="center"/>
          </w:tcPr>
          <w:p w14:paraId="723B34A1">
            <w:pPr>
              <w:spacing w:line="360" w:lineRule="auto"/>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高州</w:t>
            </w:r>
            <w:r>
              <w:rPr>
                <w:rFonts w:hint="eastAsia" w:ascii="宋体" w:hAnsi="宋体" w:eastAsia="宋体" w:cs="宋体"/>
                <w:color w:val="000000" w:themeColor="text1"/>
                <w:sz w:val="21"/>
                <w:szCs w:val="21"/>
                <w:shd w:val="clear" w:color="auto" w:fill="FFFFFF"/>
                <w14:textFill>
                  <w14:solidFill>
                    <w14:schemeClr w14:val="tx1"/>
                  </w14:solidFill>
                </w14:textFill>
              </w:rPr>
              <w:t>项目地点：高州市绿能环保发电厂及配套设施项目内  高州市金坑飞灰填埋场内</w:t>
            </w:r>
          </w:p>
          <w:p w14:paraId="75790D45">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p>
        </w:tc>
      </w:tr>
      <w:tr w14:paraId="0433417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C77251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第一章2.2</w:t>
            </w:r>
          </w:p>
        </w:tc>
        <w:tc>
          <w:tcPr>
            <w:tcW w:w="2126" w:type="dxa"/>
            <w:tcBorders>
              <w:top w:val="single" w:color="auto" w:sz="4" w:space="0"/>
              <w:left w:val="single" w:color="auto" w:sz="4" w:space="0"/>
              <w:bottom w:val="single" w:color="auto" w:sz="4" w:space="0"/>
              <w:right w:val="single" w:color="auto" w:sz="4" w:space="0"/>
            </w:tcBorders>
            <w:vAlign w:val="center"/>
          </w:tcPr>
          <w:p w14:paraId="071AC5C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5954" w:type="dxa"/>
            <w:tcBorders>
              <w:top w:val="single" w:color="auto" w:sz="4" w:space="0"/>
              <w:left w:val="single" w:color="auto" w:sz="4" w:space="0"/>
              <w:bottom w:val="single" w:color="auto" w:sz="4" w:space="0"/>
              <w:right w:val="single" w:color="auto" w:sz="4" w:space="0"/>
            </w:tcBorders>
            <w:vAlign w:val="center"/>
          </w:tcPr>
          <w:p w14:paraId="632E4B84">
            <w:pPr>
              <w:spacing w:line="360" w:lineRule="auto"/>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sz w:val="21"/>
                <w:szCs w:val="21"/>
              </w:rPr>
              <w:t>高州项目2025年-2026年金坑飞灰填埋场运营管理及飞灰转运、填埋服务的招标，包括</w:t>
            </w:r>
            <w:r>
              <w:rPr>
                <w:rFonts w:hint="eastAsia" w:ascii="宋体" w:hAnsi="宋体" w:eastAsia="宋体" w:cs="宋体"/>
                <w:color w:val="000000" w:themeColor="text1"/>
                <w:sz w:val="21"/>
                <w:szCs w:val="21"/>
                <w:shd w:val="clear" w:color="auto" w:fill="FFFFFF"/>
                <w14:textFill>
                  <w14:solidFill>
                    <w14:schemeClr w14:val="tx1"/>
                  </w14:solidFill>
                </w14:textFill>
              </w:rPr>
              <w:t>固定单价包括但不限于：人工费（含运输司机）、机具费（含运输及吊装机具等）、材料费（含药剂、膜等）、各类小型工器具费、机具及工器具维保费、卸车费、差旅费、食宿费、劳保用品费、外部协调费、人员与机械保险费、职业健康体检费、风险费（包括但不限于垃圾填埋场的施工难度、环境条件、周边外部人为因素影响等，如政府部门相关风险甲乙双方共同磋商解决）、临时设施费、填埋场各类日常常规监测费、填埋场应急管理费、填埋场运营材料费及水电费、垃圾清运费、安全文明和技术措施费、企业管理费、利润、税费等为完成本协议约定的工作内容所需的所有费用。</w:t>
            </w:r>
          </w:p>
          <w:p w14:paraId="0213E332">
            <w:pPr>
              <w:spacing w:line="360" w:lineRule="auto"/>
              <w:jc w:val="left"/>
              <w:rPr>
                <w:rFonts w:hint="eastAsia" w:ascii="宋体" w:hAnsi="宋体" w:eastAsia="宋体" w:cs="宋体"/>
                <w:color w:val="000000" w:themeColor="text1"/>
                <w:sz w:val="21"/>
                <w:szCs w:val="21"/>
                <w:shd w:val="clear" w:color="auto" w:fill="FFFFFF"/>
                <w14:textFill>
                  <w14:solidFill>
                    <w14:schemeClr w14:val="tx1"/>
                  </w14:solidFill>
                </w14:textFill>
              </w:rPr>
            </w:pPr>
          </w:p>
          <w:p w14:paraId="4FFF9947">
            <w:pPr>
              <w:spacing w:line="360" w:lineRule="auto"/>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（2）投标人必须按招标文件提供的报价表格进行报价。投标报价必须注明税率税种。</w:t>
            </w:r>
          </w:p>
          <w:p w14:paraId="1BA827C4">
            <w:pPr>
              <w:spacing w:line="360" w:lineRule="auto"/>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（3）住宿由投标人自理，招标人不提供食堂，投标人饮食费用自理；上述费用投标人应综合考虑在投标报价中。</w:t>
            </w:r>
          </w:p>
          <w:p w14:paraId="1D0A550F">
            <w:pPr>
              <w:spacing w:line="360" w:lineRule="auto"/>
              <w:jc w:val="lef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（4）除非合同中另有规定，投标报价应为本标发生的各项应有费用总和，其中包括场车辆费、管理费、人工费、差旅费、税费等全部费用等。</w:t>
            </w:r>
          </w:p>
          <w:p w14:paraId="3C2312B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（5）其他报价要求详见招标文件及招标文件附件。</w:t>
            </w:r>
          </w:p>
        </w:tc>
      </w:tr>
      <w:tr w14:paraId="7B35CE1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962D0F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第一章3.1</w:t>
            </w:r>
          </w:p>
        </w:tc>
        <w:tc>
          <w:tcPr>
            <w:tcW w:w="2126" w:type="dxa"/>
            <w:tcBorders>
              <w:top w:val="single" w:color="auto" w:sz="4" w:space="0"/>
              <w:left w:val="single" w:color="auto" w:sz="4" w:space="0"/>
              <w:bottom w:val="single" w:color="auto" w:sz="4" w:space="0"/>
              <w:right w:val="single" w:color="auto" w:sz="4" w:space="0"/>
            </w:tcBorders>
            <w:vAlign w:val="center"/>
          </w:tcPr>
          <w:p w14:paraId="6FA765C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资金来源及比例</w:t>
            </w:r>
          </w:p>
        </w:tc>
        <w:tc>
          <w:tcPr>
            <w:tcW w:w="5954" w:type="dxa"/>
            <w:tcBorders>
              <w:top w:val="single" w:color="auto" w:sz="4" w:space="0"/>
              <w:left w:val="single" w:color="auto" w:sz="4" w:space="0"/>
              <w:bottom w:val="single" w:color="auto" w:sz="4" w:space="0"/>
              <w:right w:val="single" w:color="auto" w:sz="4" w:space="0"/>
            </w:tcBorders>
            <w:vAlign w:val="center"/>
          </w:tcPr>
          <w:p w14:paraId="0842170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企业自筹100%</w:t>
            </w:r>
          </w:p>
        </w:tc>
      </w:tr>
      <w:tr w14:paraId="0F768C4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EC6749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第一章3.2</w:t>
            </w:r>
          </w:p>
        </w:tc>
        <w:tc>
          <w:tcPr>
            <w:tcW w:w="2126" w:type="dxa"/>
            <w:tcBorders>
              <w:top w:val="single" w:color="auto" w:sz="4" w:space="0"/>
              <w:left w:val="single" w:color="auto" w:sz="4" w:space="0"/>
              <w:bottom w:val="single" w:color="auto" w:sz="4" w:space="0"/>
              <w:right w:val="single" w:color="auto" w:sz="4" w:space="0"/>
            </w:tcBorders>
            <w:vAlign w:val="center"/>
          </w:tcPr>
          <w:p w14:paraId="1CCA2CF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资金落实情况</w:t>
            </w:r>
          </w:p>
        </w:tc>
        <w:tc>
          <w:tcPr>
            <w:tcW w:w="5954" w:type="dxa"/>
            <w:tcBorders>
              <w:top w:val="single" w:color="auto" w:sz="4" w:space="0"/>
              <w:left w:val="single" w:color="auto" w:sz="4" w:space="0"/>
              <w:bottom w:val="single" w:color="auto" w:sz="4" w:space="0"/>
              <w:right w:val="single" w:color="auto" w:sz="4" w:space="0"/>
            </w:tcBorders>
            <w:vAlign w:val="center"/>
          </w:tcPr>
          <w:p w14:paraId="45D3E4C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筹备完成</w:t>
            </w:r>
          </w:p>
        </w:tc>
      </w:tr>
      <w:tr w14:paraId="481CA59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2FEE20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第一章4.2</w:t>
            </w:r>
          </w:p>
        </w:tc>
        <w:tc>
          <w:tcPr>
            <w:tcW w:w="2126" w:type="dxa"/>
            <w:tcBorders>
              <w:top w:val="single" w:color="auto" w:sz="4" w:space="0"/>
              <w:left w:val="single" w:color="auto" w:sz="4" w:space="0"/>
              <w:bottom w:val="single" w:color="auto" w:sz="4" w:space="0"/>
              <w:right w:val="single" w:color="auto" w:sz="4" w:space="0"/>
            </w:tcBorders>
            <w:vAlign w:val="center"/>
          </w:tcPr>
          <w:p w14:paraId="438237AF">
            <w:pPr>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5954" w:type="dxa"/>
            <w:tcBorders>
              <w:top w:val="single" w:color="auto" w:sz="4" w:space="0"/>
              <w:left w:val="single" w:color="auto" w:sz="4" w:space="0"/>
              <w:bottom w:val="single" w:color="auto" w:sz="4" w:space="0"/>
              <w:right w:val="single" w:color="auto" w:sz="4" w:space="0"/>
            </w:tcBorders>
            <w:vAlign w:val="center"/>
          </w:tcPr>
          <w:p w14:paraId="33EFF90F">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1年，2025年9月1日至2026年8月31日。</w:t>
            </w:r>
          </w:p>
          <w:p w14:paraId="008A7615">
            <w:pPr>
              <w:spacing w:line="360" w:lineRule="auto"/>
              <w:jc w:val="left"/>
              <w:rPr>
                <w:rFonts w:ascii="宋体" w:hAnsi="宋体" w:eastAsia="宋体" w:cs="宋体"/>
                <w:color w:val="000000" w:themeColor="text1"/>
                <w:szCs w:val="24"/>
                <w14:textFill>
                  <w14:solidFill>
                    <w14:schemeClr w14:val="tx1"/>
                  </w14:solidFill>
                </w14:textFill>
              </w:rPr>
            </w:pPr>
          </w:p>
        </w:tc>
      </w:tr>
      <w:tr w14:paraId="2D60524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91EC8F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第一章5</w:t>
            </w:r>
          </w:p>
        </w:tc>
        <w:tc>
          <w:tcPr>
            <w:tcW w:w="2126" w:type="dxa"/>
            <w:tcBorders>
              <w:top w:val="single" w:color="auto" w:sz="4" w:space="0"/>
              <w:left w:val="single" w:color="auto" w:sz="4" w:space="0"/>
              <w:bottom w:val="single" w:color="auto" w:sz="4" w:space="0"/>
              <w:right w:val="single" w:color="auto" w:sz="4" w:space="0"/>
            </w:tcBorders>
            <w:vAlign w:val="center"/>
          </w:tcPr>
          <w:p w14:paraId="1E04C3A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5954" w:type="dxa"/>
            <w:tcBorders>
              <w:top w:val="single" w:color="auto" w:sz="4" w:space="0"/>
              <w:left w:val="single" w:color="auto" w:sz="4" w:space="0"/>
              <w:bottom w:val="single" w:color="auto" w:sz="4" w:space="0"/>
              <w:right w:val="single" w:color="auto" w:sz="4" w:space="0"/>
            </w:tcBorders>
            <w:vAlign w:val="center"/>
          </w:tcPr>
          <w:p w14:paraId="34D8E6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满足国家相关标准规范</w:t>
            </w:r>
          </w:p>
        </w:tc>
      </w:tr>
      <w:tr w14:paraId="260A3E8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BD05E5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第二章1.4.1</w:t>
            </w:r>
          </w:p>
        </w:tc>
        <w:tc>
          <w:tcPr>
            <w:tcW w:w="2126" w:type="dxa"/>
            <w:tcBorders>
              <w:top w:val="single" w:color="auto" w:sz="4" w:space="0"/>
              <w:left w:val="single" w:color="auto" w:sz="4" w:space="0"/>
              <w:bottom w:val="single" w:color="auto" w:sz="4" w:space="0"/>
              <w:right w:val="single" w:color="auto" w:sz="4" w:space="0"/>
            </w:tcBorders>
            <w:vAlign w:val="center"/>
          </w:tcPr>
          <w:p w14:paraId="00A1BE9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投标人资质条件、能力</w:t>
            </w:r>
          </w:p>
        </w:tc>
        <w:tc>
          <w:tcPr>
            <w:tcW w:w="5954" w:type="dxa"/>
            <w:tcBorders>
              <w:top w:val="single" w:color="auto" w:sz="4" w:space="0"/>
              <w:left w:val="single" w:color="auto" w:sz="4" w:space="0"/>
              <w:bottom w:val="single" w:color="auto" w:sz="4" w:space="0"/>
              <w:right w:val="single" w:color="auto" w:sz="4" w:space="0"/>
            </w:tcBorders>
            <w:vAlign w:val="center"/>
          </w:tcPr>
          <w:p w14:paraId="7D5565E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（1）依法在中华人民共和国境内注册并有效存续的企业法人。</w:t>
            </w:r>
          </w:p>
          <w:p w14:paraId="0F9F8DF4">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shd w:val="clear" w:color="auto" w:fill="FFFFFF"/>
                <w14:textFill>
                  <w14:solidFill>
                    <w14:schemeClr w14:val="tx1"/>
                  </w14:solidFill>
                </w14:textFill>
              </w:rPr>
              <w:t>本次招标</w:t>
            </w:r>
            <w:r>
              <w:rPr>
                <w:rFonts w:hint="eastAsia" w:ascii="宋体" w:hAnsi="宋体" w:eastAsia="宋体" w:cs="宋体"/>
                <w:color w:val="000000" w:themeColor="text1"/>
                <w:sz w:val="21"/>
                <w:szCs w:val="21"/>
                <w:u w:val="single"/>
                <w14:textFill>
                  <w14:solidFill>
                    <w14:schemeClr w14:val="tx1"/>
                  </w14:solidFill>
                </w14:textFill>
              </w:rPr>
              <w:t xml:space="preserve">  不接受  </w:t>
            </w:r>
            <w:r>
              <w:rPr>
                <w:rFonts w:hint="eastAsia" w:ascii="宋体" w:hAnsi="宋体" w:eastAsia="宋体" w:cs="宋体"/>
                <w:bCs/>
                <w:color w:val="000000" w:themeColor="text1"/>
                <w:sz w:val="21"/>
                <w:szCs w:val="21"/>
                <w:shd w:val="clear" w:color="auto" w:fill="FFFFFF"/>
                <w14:textFill>
                  <w14:solidFill>
                    <w14:schemeClr w14:val="tx1"/>
                  </w14:solidFill>
                </w14:textFill>
              </w:rPr>
              <w:t>联合体投标。</w:t>
            </w:r>
          </w:p>
          <w:p w14:paraId="618704AD">
            <w:pPr>
              <w:spacing w:line="360" w:lineRule="auto"/>
              <w:jc w:val="left"/>
              <w:rPr>
                <w:rFonts w:hint="eastAsia" w:ascii="宋体" w:hAnsi="宋体" w:eastAsia="宋体" w:cs="宋体"/>
                <w:bCs/>
                <w:color w:val="000000" w:themeColor="text1"/>
                <w:sz w:val="21"/>
                <w:szCs w:val="21"/>
                <w:shd w:val="clear" w:color="auto" w:fill="FFFFFF"/>
                <w14:textFill>
                  <w14:solidFill>
                    <w14:schemeClr w14:val="tx1"/>
                  </w14:solidFill>
                </w14:textFill>
              </w:rPr>
            </w:pPr>
            <w:bookmarkStart w:id="53" w:name="EptNR_5投标人资质条件、能力和信誉"/>
            <w:r>
              <w:rPr>
                <w:rFonts w:hint="eastAsia" w:ascii="宋体" w:hAnsi="宋体" w:eastAsia="宋体" w:cs="宋体"/>
                <w:bCs/>
                <w:color w:val="000000" w:themeColor="text1"/>
                <w:sz w:val="21"/>
                <w:szCs w:val="21"/>
                <w:shd w:val="clear" w:color="auto" w:fill="FFFFFF"/>
                <w14:textFill>
                  <w14:solidFill>
                    <w14:schemeClr w14:val="tx1"/>
                  </w14:solidFill>
                </w14:textFill>
              </w:rPr>
              <w:t>资质条件：投标人企业具备危废品运输许可相关资质、在“广东省固体废物环境监管平台”进行注册</w:t>
            </w:r>
          </w:p>
          <w:bookmarkEnd w:id="53"/>
          <w:tbl>
            <w:tblPr>
              <w:tblStyle w:val="48"/>
              <w:tblW w:w="5818" w:type="dxa"/>
              <w:tblInd w:w="0" w:type="dxa"/>
              <w:tblLayout w:type="fixed"/>
              <w:tblCellMar>
                <w:top w:w="0" w:type="dxa"/>
                <w:left w:w="108" w:type="dxa"/>
                <w:bottom w:w="0" w:type="dxa"/>
                <w:right w:w="108" w:type="dxa"/>
              </w:tblCellMar>
            </w:tblPr>
            <w:tblGrid>
              <w:gridCol w:w="1309"/>
              <w:gridCol w:w="489"/>
              <w:gridCol w:w="4020"/>
            </w:tblGrid>
            <w:tr w14:paraId="41962C21">
              <w:tblPrEx>
                <w:tblCellMar>
                  <w:top w:w="0" w:type="dxa"/>
                  <w:left w:w="108" w:type="dxa"/>
                  <w:bottom w:w="0" w:type="dxa"/>
                  <w:right w:w="108" w:type="dxa"/>
                </w:tblCellMar>
              </w:tblPrEx>
              <w:tc>
                <w:tcPr>
                  <w:tcW w:w="1309" w:type="dxa"/>
                </w:tcPr>
                <w:p w14:paraId="2DE5084A">
                  <w:pPr>
                    <w:spacing w:line="360" w:lineRule="auto"/>
                    <w:jc w:val="left"/>
                    <w:rPr>
                      <w:rFonts w:ascii="宋体" w:hAnsi="宋体" w:eastAsia="宋体" w:cs="宋体"/>
                      <w:bCs/>
                      <w:color w:val="FF0000"/>
                      <w:sz w:val="21"/>
                      <w:szCs w:val="21"/>
                      <w:shd w:val="clear" w:color="auto" w:fill="FFFFFF"/>
                    </w:rPr>
                  </w:pPr>
                  <w:bookmarkStart w:id="54" w:name="EBd6f1675932a0469f8900035ae3772d5d"/>
                  <w:r>
                    <w:rPr>
                      <w:rFonts w:hint="eastAsia" w:ascii="宋体" w:hAnsi="宋体" w:eastAsia="宋体" w:cs="宋体"/>
                      <w:bCs/>
                      <w:color w:val="FF0000"/>
                      <w:sz w:val="21"/>
                      <w:szCs w:val="21"/>
                      <w:shd w:val="clear" w:color="auto" w:fill="FFFFFF"/>
                    </w:rPr>
                    <w:t>☑财务要求：</w:t>
                  </w:r>
                  <w:bookmarkEnd w:id="54"/>
                </w:p>
              </w:tc>
              <w:tc>
                <w:tcPr>
                  <w:tcW w:w="4509" w:type="dxa"/>
                  <w:gridSpan w:val="2"/>
                </w:tcPr>
                <w:p w14:paraId="76CA97F7">
                  <w:pPr>
                    <w:spacing w:line="360" w:lineRule="auto"/>
                    <w:jc w:val="left"/>
                    <w:rPr>
                      <w:rFonts w:ascii="宋体" w:hAnsi="宋体" w:eastAsia="宋体" w:cs="宋体"/>
                      <w:bCs/>
                      <w:color w:val="FF0000"/>
                      <w:sz w:val="21"/>
                      <w:szCs w:val="21"/>
                      <w:shd w:val="clear" w:color="auto" w:fill="FFFFFF"/>
                    </w:rPr>
                  </w:pPr>
                  <w:bookmarkStart w:id="55" w:name="EB61084096cda040c1b2a4beb603010156"/>
                  <w:r>
                    <w:rPr>
                      <w:rFonts w:hint="eastAsia" w:ascii="宋体" w:hAnsi="宋体" w:eastAsia="宋体" w:cs="宋体"/>
                      <w:bCs/>
                      <w:color w:val="FF0000"/>
                      <w:sz w:val="21"/>
                      <w:szCs w:val="21"/>
                      <w:shd w:val="clear" w:color="auto" w:fill="FFFFFF"/>
                    </w:rPr>
                    <w:t>近3年</w:t>
                  </w:r>
                  <w:bookmarkEnd w:id="55"/>
                  <w:bookmarkStart w:id="56" w:name="EptNR_5财务要求结束年月日"/>
                  <w:bookmarkEnd w:id="56"/>
                  <w:r>
                    <w:rPr>
                      <w:rFonts w:hint="eastAsia" w:ascii="宋体" w:hAnsi="宋体" w:eastAsia="宋体" w:cs="宋体"/>
                      <w:bCs/>
                      <w:color w:val="FF0000"/>
                      <w:sz w:val="21"/>
                      <w:szCs w:val="21"/>
                      <w:shd w:val="clear" w:color="auto" w:fill="FFFFFF"/>
                    </w:rPr>
                    <w:t>经审计的财务审计报告（2021～2023年度）</w:t>
                  </w:r>
                </w:p>
              </w:tc>
            </w:tr>
            <w:tr w14:paraId="749BDC4F">
              <w:tblPrEx>
                <w:tblCellMar>
                  <w:top w:w="0" w:type="dxa"/>
                  <w:left w:w="108" w:type="dxa"/>
                  <w:bottom w:w="0" w:type="dxa"/>
                  <w:right w:w="108" w:type="dxa"/>
                </w:tblCellMar>
              </w:tblPrEx>
              <w:tc>
                <w:tcPr>
                  <w:tcW w:w="1798" w:type="dxa"/>
                  <w:gridSpan w:val="2"/>
                </w:tcPr>
                <w:p w14:paraId="4FB3D17B">
                  <w:pPr>
                    <w:spacing w:line="360" w:lineRule="auto"/>
                    <w:jc w:val="left"/>
                    <w:rPr>
                      <w:rFonts w:ascii="宋体" w:hAnsi="宋体" w:eastAsia="宋体" w:cs="宋体"/>
                      <w:bCs/>
                      <w:color w:val="FF0000"/>
                      <w:sz w:val="21"/>
                      <w:szCs w:val="21"/>
                      <w:shd w:val="clear" w:color="auto" w:fill="FFFFFF"/>
                    </w:rPr>
                  </w:pPr>
                  <w:bookmarkStart w:id="57" w:name="EB34c35bbdbf794aa39cec8ff47a344096"/>
                  <w:r>
                    <w:rPr>
                      <w:rFonts w:hint="eastAsia" w:ascii="宋体" w:hAnsi="宋体" w:eastAsia="宋体" w:cs="宋体"/>
                      <w:bCs/>
                      <w:color w:val="FF0000"/>
                      <w:sz w:val="21"/>
                      <w:szCs w:val="21"/>
                      <w:shd w:val="clear" w:color="auto" w:fill="FFFFFF"/>
                    </w:rPr>
                    <w:t>☑业绩要求</w:t>
                  </w:r>
                  <w:bookmarkEnd w:id="57"/>
                </w:p>
              </w:tc>
              <w:tc>
                <w:tcPr>
                  <w:tcW w:w="4020" w:type="dxa"/>
                </w:tcPr>
                <w:p w14:paraId="4A8B6564">
                  <w:pPr>
                    <w:spacing w:line="360" w:lineRule="auto"/>
                    <w:jc w:val="left"/>
                    <w:rPr>
                      <w:rFonts w:ascii="宋体" w:hAnsi="宋体" w:eastAsia="宋体" w:cs="宋体"/>
                      <w:bCs/>
                      <w:color w:val="FF0000"/>
                      <w:sz w:val="21"/>
                      <w:szCs w:val="21"/>
                      <w:shd w:val="clear" w:color="auto" w:fill="FFFFFF"/>
                    </w:rPr>
                  </w:pPr>
                  <w:r>
                    <w:rPr>
                      <w:rFonts w:hint="eastAsia" w:ascii="宋体" w:hAnsi="宋体" w:eastAsia="宋体" w:cs="宋体"/>
                      <w:bCs/>
                      <w:color w:val="FF0000"/>
                      <w:sz w:val="21"/>
                      <w:szCs w:val="21"/>
                      <w:shd w:val="clear" w:color="auto" w:fill="FFFFFF"/>
                    </w:rPr>
                    <w:t>近5年已完成的类似业绩</w:t>
                  </w:r>
                </w:p>
              </w:tc>
            </w:tr>
            <w:tr w14:paraId="622FD126">
              <w:tblPrEx>
                <w:tblCellMar>
                  <w:top w:w="0" w:type="dxa"/>
                  <w:left w:w="108" w:type="dxa"/>
                  <w:bottom w:w="0" w:type="dxa"/>
                  <w:right w:w="108" w:type="dxa"/>
                </w:tblCellMar>
              </w:tblPrEx>
              <w:tc>
                <w:tcPr>
                  <w:tcW w:w="1798" w:type="dxa"/>
                  <w:gridSpan w:val="2"/>
                </w:tcPr>
                <w:p w14:paraId="7E4A64F2">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58" w:name="EBe32becf5cefe4b81b672f86f8ccea7b3"/>
                  <w:r>
                    <w:rPr>
                      <w:rFonts w:hint="eastAsia" w:ascii="宋体" w:hAnsi="宋体" w:eastAsia="宋体" w:cs="宋体"/>
                      <w:bCs/>
                      <w:color w:val="000000" w:themeColor="text1"/>
                      <w:sz w:val="21"/>
                      <w:szCs w:val="21"/>
                      <w:shd w:val="clear" w:color="auto" w:fill="FFFFFF"/>
                      <w14:textFill>
                        <w14:solidFill>
                          <w14:schemeClr w14:val="tx1"/>
                        </w14:solidFill>
                      </w14:textFill>
                    </w:rPr>
                    <w:t>□信用等级</w:t>
                  </w:r>
                  <w:bookmarkEnd w:id="58"/>
                </w:p>
              </w:tc>
              <w:tc>
                <w:tcPr>
                  <w:tcW w:w="4020" w:type="dxa"/>
                </w:tcPr>
                <w:p w14:paraId="182AD44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59" w:name="EB737450bdc9c3442ea0461f6f6b5af8fc"/>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59"/>
                  <w:r>
                    <w:rPr>
                      <w:rFonts w:hint="eastAsia" w:ascii="宋体" w:hAnsi="宋体" w:eastAsia="宋体" w:cs="宋体"/>
                      <w:bCs/>
                      <w:color w:val="000000" w:themeColor="text1"/>
                      <w:sz w:val="21"/>
                      <w:szCs w:val="21"/>
                      <w:shd w:val="clear" w:color="auto" w:fill="FFFFFF"/>
                      <w14:textFill>
                        <w14:solidFill>
                          <w14:schemeClr w14:val="tx1"/>
                        </w14:solidFill>
                      </w14:textFill>
                    </w:rPr>
                    <w:t>AAA</w:t>
                  </w:r>
                  <w:bookmarkStart w:id="60" w:name="EBd3a96533711849c286e998c232bc87b1"/>
                  <w:r>
                    <w:rPr>
                      <w:rFonts w:hint="eastAsia" w:ascii="宋体" w:hAnsi="宋体" w:eastAsia="宋体" w:cs="宋体"/>
                      <w:bCs/>
                      <w:color w:val="000000" w:themeColor="text1"/>
                      <w:sz w:val="21"/>
                      <w:szCs w:val="21"/>
                      <w:shd w:val="clear" w:color="auto" w:fill="FFFFFF"/>
                      <w14:textFill>
                        <w14:solidFill>
                          <w14:schemeClr w14:val="tx1"/>
                        </w14:solidFill>
                      </w14:textFill>
                    </w:rPr>
                    <w:t>□</w:t>
                  </w:r>
                  <w:bookmarkEnd w:id="60"/>
                  <w:r>
                    <w:rPr>
                      <w:rFonts w:hint="eastAsia" w:ascii="宋体" w:hAnsi="宋体" w:eastAsia="宋体" w:cs="宋体"/>
                      <w:bCs/>
                      <w:color w:val="000000" w:themeColor="text1"/>
                      <w:sz w:val="21"/>
                      <w:szCs w:val="21"/>
                      <w:shd w:val="clear" w:color="auto" w:fill="FFFFFF"/>
                      <w14:textFill>
                        <w14:solidFill>
                          <w14:schemeClr w14:val="tx1"/>
                        </w14:solidFill>
                      </w14:textFill>
                    </w:rPr>
                    <w:t>AA</w:t>
                  </w:r>
                  <w:bookmarkStart w:id="61" w:name="EB52c5282d137843328d73366988a51e63"/>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1"/>
                  <w:r>
                    <w:rPr>
                      <w:rFonts w:hint="eastAsia" w:ascii="宋体" w:hAnsi="宋体" w:eastAsia="宋体" w:cs="宋体"/>
                      <w:bCs/>
                      <w:color w:val="000000" w:themeColor="text1"/>
                      <w:sz w:val="21"/>
                      <w:szCs w:val="21"/>
                      <w:shd w:val="clear" w:color="auto" w:fill="FFFFFF"/>
                      <w14:textFill>
                        <w14:solidFill>
                          <w14:schemeClr w14:val="tx1"/>
                        </w14:solidFill>
                      </w14:textFill>
                    </w:rPr>
                    <w:t>A</w:t>
                  </w:r>
                  <w:bookmarkStart w:id="62" w:name="EB261411ed677e4516a8574aa2716817e1"/>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2"/>
                  <w:r>
                    <w:rPr>
                      <w:rFonts w:hint="eastAsia" w:ascii="宋体" w:hAnsi="宋体" w:eastAsia="宋体" w:cs="宋体"/>
                      <w:bCs/>
                      <w:color w:val="000000" w:themeColor="text1"/>
                      <w:sz w:val="21"/>
                      <w:szCs w:val="21"/>
                      <w:shd w:val="clear" w:color="auto" w:fill="FFFFFF"/>
                      <w14:textFill>
                        <w14:solidFill>
                          <w14:schemeClr w14:val="tx1"/>
                        </w14:solidFill>
                      </w14:textFill>
                    </w:rPr>
                    <w:t>BBB</w:t>
                  </w:r>
                  <w:bookmarkStart w:id="63" w:name="EB3011b632322e4d34a7e20819d4bfbbe5"/>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3"/>
                  <w:r>
                    <w:rPr>
                      <w:rFonts w:hint="eastAsia" w:ascii="宋体" w:hAnsi="宋体" w:eastAsia="宋体" w:cs="宋体"/>
                      <w:bCs/>
                      <w:color w:val="000000" w:themeColor="text1"/>
                      <w:sz w:val="21"/>
                      <w:szCs w:val="21"/>
                      <w:shd w:val="clear" w:color="auto" w:fill="FFFFFF"/>
                      <w14:textFill>
                        <w14:solidFill>
                          <w14:schemeClr w14:val="tx1"/>
                        </w14:solidFill>
                      </w14:textFill>
                    </w:rPr>
                    <w:t>BB</w:t>
                  </w:r>
                </w:p>
              </w:tc>
            </w:tr>
            <w:tr w14:paraId="11D2FC9C">
              <w:tblPrEx>
                <w:tblCellMar>
                  <w:top w:w="0" w:type="dxa"/>
                  <w:left w:w="108" w:type="dxa"/>
                  <w:bottom w:w="0" w:type="dxa"/>
                  <w:right w:w="108" w:type="dxa"/>
                </w:tblCellMar>
              </w:tblPrEx>
              <w:tc>
                <w:tcPr>
                  <w:tcW w:w="1798" w:type="dxa"/>
                  <w:gridSpan w:val="2"/>
                </w:tcPr>
                <w:p w14:paraId="7C7AE4CC">
                  <w:pPr>
                    <w:spacing w:line="360" w:lineRule="auto"/>
                    <w:jc w:val="left"/>
                    <w:rPr>
                      <w:rFonts w:hint="eastAsia" w:ascii="宋体" w:hAnsi="宋体" w:eastAsia="宋体" w:cs="宋体"/>
                      <w:bCs/>
                      <w:color w:val="000000" w:themeColor="text1"/>
                      <w:sz w:val="21"/>
                      <w:szCs w:val="21"/>
                      <w:shd w:val="clear" w:color="auto" w:fill="FFFFFF"/>
                      <w14:textFill>
                        <w14:solidFill>
                          <w14:schemeClr w14:val="tx1"/>
                        </w14:solidFill>
                      </w14:textFill>
                    </w:rPr>
                  </w:pPr>
                  <w:bookmarkStart w:id="64" w:name="EBdc8d23f96cca410bbecd263ef5d84c99"/>
                  <w:bookmarkStart w:id="65" w:name="EB2059c6342d244f6eb4119c25b7be051f"/>
                  <w:r>
                    <w:rPr>
                      <w:rFonts w:hint="eastAsia" w:ascii="宋体" w:hAnsi="宋体" w:eastAsia="宋体" w:cs="宋体"/>
                      <w:bCs/>
                      <w:color w:val="000000" w:themeColor="text1"/>
                      <w:sz w:val="21"/>
                      <w:szCs w:val="21"/>
                      <w:shd w:val="clear" w:color="auto" w:fill="FFFFFF"/>
                      <w14:textFill>
                        <w14:solidFill>
                          <w14:schemeClr w14:val="tx1"/>
                        </w14:solidFill>
                      </w14:textFill>
                    </w:rPr>
                    <w:t>☑项目经理资格：</w:t>
                  </w:r>
                  <w:bookmarkEnd w:id="64"/>
                </w:p>
              </w:tc>
              <w:tc>
                <w:tcPr>
                  <w:tcW w:w="4020" w:type="dxa"/>
                </w:tcPr>
                <w:p w14:paraId="617BDC7B">
                  <w:pPr>
                    <w:spacing w:line="360" w:lineRule="auto"/>
                    <w:jc w:val="left"/>
                    <w:rPr>
                      <w:rFonts w:hint="eastAsia"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未担任其他在</w:t>
                  </w:r>
                  <w:r>
                    <w:rPr>
                      <w:rFonts w:hint="eastAsia" w:ascii="宋体" w:hAnsi="宋体" w:eastAsia="宋体" w:cs="宋体"/>
                      <w:bCs/>
                      <w:color w:val="000000" w:themeColor="text1"/>
                      <w:sz w:val="21"/>
                      <w:szCs w:val="21"/>
                      <w:shd w:val="clear" w:color="auto" w:fill="FFFFFF"/>
                      <w:lang w:val="en-US" w:eastAsia="zh-CN"/>
                      <w14:textFill>
                        <w14:solidFill>
                          <w14:schemeClr w14:val="tx1"/>
                        </w14:solidFill>
                      </w14:textFill>
                    </w:rPr>
                    <w:t>运营</w:t>
                  </w:r>
                  <w:r>
                    <w:rPr>
                      <w:rFonts w:hint="eastAsia" w:ascii="宋体" w:hAnsi="宋体" w:eastAsia="宋体" w:cs="宋体"/>
                      <w:bCs/>
                      <w:color w:val="000000" w:themeColor="text1"/>
                      <w:sz w:val="21"/>
                      <w:szCs w:val="21"/>
                      <w:shd w:val="clear" w:color="auto" w:fill="FFFFFF"/>
                      <w14:textFill>
                        <w14:solidFill>
                          <w14:schemeClr w14:val="tx1"/>
                        </w14:solidFill>
                      </w14:textFill>
                    </w:rPr>
                    <w:t>项目</w:t>
                  </w:r>
                  <w:r>
                    <w:rPr>
                      <w:rFonts w:hint="eastAsia" w:ascii="宋体" w:hAnsi="宋体" w:eastAsia="宋体" w:cs="宋体"/>
                      <w:bCs/>
                      <w:color w:val="000000" w:themeColor="text1"/>
                      <w:sz w:val="21"/>
                      <w:szCs w:val="21"/>
                      <w:shd w:val="clear" w:color="auto" w:fill="FFFFFF"/>
                      <w:lang w:val="en-US" w:eastAsia="zh-CN"/>
                      <w14:textFill>
                        <w14:solidFill>
                          <w14:schemeClr w14:val="tx1"/>
                        </w14:solidFill>
                      </w14:textFill>
                    </w:rPr>
                    <w:t>飞灰填埋场</w:t>
                  </w:r>
                  <w:r>
                    <w:rPr>
                      <w:rFonts w:hint="eastAsia" w:ascii="宋体" w:hAnsi="宋体" w:eastAsia="宋体" w:cs="宋体"/>
                      <w:bCs/>
                      <w:color w:val="000000" w:themeColor="text1"/>
                      <w:sz w:val="21"/>
                      <w:szCs w:val="21"/>
                      <w:shd w:val="clear" w:color="auto" w:fill="FFFFFF"/>
                      <w14:textFill>
                        <w14:solidFill>
                          <w14:schemeClr w14:val="tx1"/>
                        </w14:solidFill>
                      </w14:textFill>
                    </w:rPr>
                    <w:t>的项目经理。</w:t>
                  </w:r>
                </w:p>
              </w:tc>
            </w:tr>
            <w:tr w14:paraId="674067CA">
              <w:tblPrEx>
                <w:tblCellMar>
                  <w:top w:w="0" w:type="dxa"/>
                  <w:left w:w="108" w:type="dxa"/>
                  <w:bottom w:w="0" w:type="dxa"/>
                  <w:right w:w="108" w:type="dxa"/>
                </w:tblCellMar>
              </w:tblPrEx>
              <w:tc>
                <w:tcPr>
                  <w:tcW w:w="1798" w:type="dxa"/>
                  <w:gridSpan w:val="2"/>
                </w:tcPr>
                <w:p w14:paraId="2405E5ED">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shd w:val="clear" w:color="auto" w:fill="FFFFFF"/>
                      <w14:textFill>
                        <w14:solidFill>
                          <w14:schemeClr w14:val="tx1"/>
                        </w14:solidFill>
                      </w14:textFill>
                    </w:rPr>
                    <w:t>其他要求</w:t>
                  </w:r>
                  <w:bookmarkEnd w:id="65"/>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p>
              </w:tc>
              <w:tc>
                <w:tcPr>
                  <w:tcW w:w="4020" w:type="dxa"/>
                </w:tcPr>
                <w:p w14:paraId="3FE7713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详见1.4.4 合格投标人资格审查资料要求</w:t>
                  </w:r>
                </w:p>
              </w:tc>
            </w:tr>
          </w:tbl>
          <w:p w14:paraId="1B88DD29">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p>
        </w:tc>
      </w:tr>
      <w:tr w14:paraId="5E97CE9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3C2148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第二章1.5.1</w:t>
            </w:r>
          </w:p>
        </w:tc>
        <w:tc>
          <w:tcPr>
            <w:tcW w:w="2126" w:type="dxa"/>
            <w:tcBorders>
              <w:top w:val="single" w:color="auto" w:sz="4" w:space="0"/>
              <w:left w:val="single" w:color="auto" w:sz="4" w:space="0"/>
              <w:bottom w:val="single" w:color="auto" w:sz="4" w:space="0"/>
              <w:right w:val="single" w:color="auto" w:sz="4" w:space="0"/>
            </w:tcBorders>
            <w:vAlign w:val="center"/>
          </w:tcPr>
          <w:p w14:paraId="5145417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费用承担方式</w:t>
            </w:r>
          </w:p>
        </w:tc>
        <w:tc>
          <w:tcPr>
            <w:tcW w:w="5954" w:type="dxa"/>
            <w:tcBorders>
              <w:top w:val="single" w:color="auto" w:sz="4" w:space="0"/>
              <w:left w:val="single" w:color="auto" w:sz="4" w:space="0"/>
              <w:bottom w:val="single" w:color="auto" w:sz="4" w:space="0"/>
              <w:right w:val="single" w:color="auto" w:sz="4" w:space="0"/>
            </w:tcBorders>
            <w:vAlign w:val="center"/>
          </w:tcPr>
          <w:p w14:paraId="210FBDF7">
            <w:pPr>
              <w:spacing w:line="360" w:lineRule="auto"/>
              <w:jc w:val="left"/>
              <w:rPr>
                <w:rFonts w:ascii="宋体" w:hAnsi="宋体" w:eastAsia="宋体" w:cs="宋体"/>
                <w:color w:val="000000" w:themeColor="text1"/>
                <w:sz w:val="21"/>
                <w:szCs w:val="21"/>
                <w14:textFill>
                  <w14:solidFill>
                    <w14:schemeClr w14:val="tx1"/>
                  </w14:solidFill>
                </w14:textFill>
              </w:rPr>
            </w:pPr>
            <w:bookmarkStart w:id="66" w:name="EB884bc9f7d2a84575bf222f02b74e5dde"/>
            <w:r>
              <w:rPr>
                <w:rFonts w:hint="eastAsia" w:ascii="宋体" w:hAnsi="宋体" w:eastAsia="宋体" w:cs="宋体"/>
                <w:color w:val="000000" w:themeColor="text1"/>
                <w:sz w:val="21"/>
                <w:szCs w:val="21"/>
                <w14:textFill>
                  <w14:solidFill>
                    <w14:schemeClr w14:val="tx1"/>
                  </w14:solidFill>
                </w14:textFill>
              </w:rPr>
              <w:t>☑投标人准备和参加投标活动所发生的费用自理</w:t>
            </w:r>
          </w:p>
          <w:p w14:paraId="28DCEADF">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bookmarkEnd w:id="66"/>
          </w:p>
        </w:tc>
      </w:tr>
      <w:tr w14:paraId="2A34E39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429540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第二章1.6</w:t>
            </w:r>
          </w:p>
        </w:tc>
        <w:tc>
          <w:tcPr>
            <w:tcW w:w="2126" w:type="dxa"/>
            <w:tcBorders>
              <w:top w:val="single" w:color="auto" w:sz="4" w:space="0"/>
              <w:left w:val="single" w:color="auto" w:sz="4" w:space="0"/>
              <w:bottom w:val="single" w:color="auto" w:sz="4" w:space="0"/>
              <w:right w:val="single" w:color="auto" w:sz="4" w:space="0"/>
            </w:tcBorders>
            <w:vAlign w:val="center"/>
          </w:tcPr>
          <w:p w14:paraId="515C0D9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保密</w:t>
            </w:r>
          </w:p>
        </w:tc>
        <w:tc>
          <w:tcPr>
            <w:tcW w:w="5954" w:type="dxa"/>
            <w:tcBorders>
              <w:top w:val="single" w:color="auto" w:sz="4" w:space="0"/>
              <w:left w:val="single" w:color="auto" w:sz="4" w:space="0"/>
              <w:bottom w:val="single" w:color="auto" w:sz="4" w:space="0"/>
              <w:right w:val="single" w:color="auto" w:sz="4" w:space="0"/>
            </w:tcBorders>
            <w:vAlign w:val="center"/>
          </w:tcPr>
          <w:p w14:paraId="7D7C54C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4499D6E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223077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第二章1.7</w:t>
            </w:r>
          </w:p>
        </w:tc>
        <w:tc>
          <w:tcPr>
            <w:tcW w:w="2126" w:type="dxa"/>
            <w:tcBorders>
              <w:top w:val="single" w:color="auto" w:sz="4" w:space="0"/>
              <w:left w:val="single" w:color="auto" w:sz="4" w:space="0"/>
              <w:bottom w:val="single" w:color="auto" w:sz="4" w:space="0"/>
              <w:right w:val="single" w:color="auto" w:sz="4" w:space="0"/>
            </w:tcBorders>
            <w:vAlign w:val="center"/>
          </w:tcPr>
          <w:p w14:paraId="122109E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语言文字</w:t>
            </w:r>
          </w:p>
        </w:tc>
        <w:tc>
          <w:tcPr>
            <w:tcW w:w="5954" w:type="dxa"/>
            <w:tcBorders>
              <w:top w:val="single" w:color="auto" w:sz="4" w:space="0"/>
              <w:left w:val="single" w:color="auto" w:sz="4" w:space="0"/>
              <w:bottom w:val="single" w:color="auto" w:sz="4" w:space="0"/>
              <w:right w:val="single" w:color="auto" w:sz="4" w:space="0"/>
            </w:tcBorders>
            <w:vAlign w:val="center"/>
          </w:tcPr>
          <w:p w14:paraId="2E5E3CA3">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7C80123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625B1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第二章1.8</w:t>
            </w:r>
          </w:p>
        </w:tc>
        <w:tc>
          <w:tcPr>
            <w:tcW w:w="2126" w:type="dxa"/>
            <w:tcBorders>
              <w:top w:val="single" w:color="auto" w:sz="4" w:space="0"/>
              <w:left w:val="single" w:color="auto" w:sz="4" w:space="0"/>
              <w:bottom w:val="single" w:color="auto" w:sz="4" w:space="0"/>
              <w:right w:val="single" w:color="auto" w:sz="4" w:space="0"/>
            </w:tcBorders>
            <w:vAlign w:val="center"/>
          </w:tcPr>
          <w:p w14:paraId="3303C01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5954" w:type="dxa"/>
            <w:tcBorders>
              <w:top w:val="single" w:color="auto" w:sz="4" w:space="0"/>
              <w:left w:val="single" w:color="auto" w:sz="4" w:space="0"/>
              <w:bottom w:val="single" w:color="auto" w:sz="4" w:space="0"/>
              <w:right w:val="single" w:color="auto" w:sz="4" w:space="0"/>
            </w:tcBorders>
            <w:vAlign w:val="center"/>
          </w:tcPr>
          <w:p w14:paraId="55022D92">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0E84DFE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ADB43C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第二章1.9.1</w:t>
            </w:r>
          </w:p>
        </w:tc>
        <w:tc>
          <w:tcPr>
            <w:tcW w:w="2126" w:type="dxa"/>
            <w:tcBorders>
              <w:top w:val="single" w:color="auto" w:sz="4" w:space="0"/>
              <w:left w:val="single" w:color="auto" w:sz="4" w:space="0"/>
              <w:bottom w:val="single" w:color="auto" w:sz="4" w:space="0"/>
              <w:right w:val="single" w:color="auto" w:sz="4" w:space="0"/>
            </w:tcBorders>
            <w:vAlign w:val="center"/>
          </w:tcPr>
          <w:p w14:paraId="6DD860D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踏勘现场</w:t>
            </w:r>
          </w:p>
        </w:tc>
        <w:tc>
          <w:tcPr>
            <w:tcW w:w="5954" w:type="dxa"/>
            <w:tcBorders>
              <w:top w:val="single" w:color="auto" w:sz="4" w:space="0"/>
              <w:left w:val="single" w:color="auto" w:sz="4" w:space="0"/>
              <w:bottom w:val="single" w:color="auto" w:sz="4" w:space="0"/>
              <w:right w:val="single" w:color="auto" w:sz="4" w:space="0"/>
            </w:tcBorders>
            <w:vAlign w:val="center"/>
          </w:tcPr>
          <w:p w14:paraId="001511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投标人自行前往踏勘</w:t>
            </w:r>
          </w:p>
        </w:tc>
      </w:tr>
      <w:tr w14:paraId="4E93F83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BF9243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第二章1.10.1</w:t>
            </w:r>
          </w:p>
        </w:tc>
        <w:tc>
          <w:tcPr>
            <w:tcW w:w="2126" w:type="dxa"/>
            <w:tcBorders>
              <w:top w:val="single" w:color="auto" w:sz="4" w:space="0"/>
              <w:left w:val="single" w:color="auto" w:sz="4" w:space="0"/>
              <w:bottom w:val="single" w:color="auto" w:sz="4" w:space="0"/>
              <w:right w:val="single" w:color="auto" w:sz="4" w:space="0"/>
            </w:tcBorders>
            <w:vAlign w:val="center"/>
          </w:tcPr>
          <w:p w14:paraId="2DC0A72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投标预备会</w:t>
            </w:r>
          </w:p>
        </w:tc>
        <w:tc>
          <w:tcPr>
            <w:tcW w:w="5954" w:type="dxa"/>
            <w:tcBorders>
              <w:top w:val="single" w:color="auto" w:sz="4" w:space="0"/>
              <w:left w:val="single" w:color="auto" w:sz="4" w:space="0"/>
              <w:bottom w:val="single" w:color="auto" w:sz="4" w:space="0"/>
              <w:right w:val="single" w:color="auto" w:sz="4" w:space="0"/>
            </w:tcBorders>
            <w:vAlign w:val="center"/>
          </w:tcPr>
          <w:p w14:paraId="127340E3">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不召开</w:t>
            </w:r>
          </w:p>
          <w:p w14:paraId="1BDA34D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□召开，召开时间：</w:t>
            </w:r>
          </w:p>
          <w:p w14:paraId="21FEEFD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召开地点：</w:t>
            </w:r>
          </w:p>
        </w:tc>
      </w:tr>
      <w:tr w14:paraId="19B8EB4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E40280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第二章1.10.2</w:t>
            </w:r>
          </w:p>
        </w:tc>
        <w:tc>
          <w:tcPr>
            <w:tcW w:w="2126" w:type="dxa"/>
            <w:tcBorders>
              <w:top w:val="single" w:color="auto" w:sz="4" w:space="0"/>
              <w:left w:val="single" w:color="auto" w:sz="4" w:space="0"/>
              <w:bottom w:val="single" w:color="auto" w:sz="4" w:space="0"/>
              <w:right w:val="single" w:color="auto" w:sz="4" w:space="0"/>
            </w:tcBorders>
            <w:vAlign w:val="center"/>
          </w:tcPr>
          <w:p w14:paraId="2563FCF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投标人提出问题的截止时间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2C043A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预备会召开时间前后2-3个工作日内</w:t>
            </w:r>
          </w:p>
        </w:tc>
      </w:tr>
      <w:tr w14:paraId="59131E9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2CD96E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第二章1.10.3</w:t>
            </w:r>
          </w:p>
        </w:tc>
        <w:tc>
          <w:tcPr>
            <w:tcW w:w="2126" w:type="dxa"/>
            <w:tcBorders>
              <w:top w:val="single" w:color="auto" w:sz="4" w:space="0"/>
              <w:left w:val="single" w:color="auto" w:sz="4" w:space="0"/>
              <w:bottom w:val="single" w:color="auto" w:sz="4" w:space="0"/>
              <w:right w:val="single" w:color="auto" w:sz="4" w:space="0"/>
            </w:tcBorders>
            <w:vAlign w:val="center"/>
          </w:tcPr>
          <w:p w14:paraId="6AA9DBF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招标人书面澄清的时间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0C0EBC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收到投标人提出问题函件2个工作日内</w:t>
            </w:r>
          </w:p>
        </w:tc>
      </w:tr>
      <w:tr w14:paraId="37CDCAA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B2E8EA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第二章1.11</w:t>
            </w:r>
          </w:p>
        </w:tc>
        <w:tc>
          <w:tcPr>
            <w:tcW w:w="2126" w:type="dxa"/>
            <w:tcBorders>
              <w:top w:val="single" w:color="auto" w:sz="4" w:space="0"/>
              <w:left w:val="single" w:color="auto" w:sz="4" w:space="0"/>
              <w:bottom w:val="single" w:color="auto" w:sz="4" w:space="0"/>
              <w:right w:val="single" w:color="auto" w:sz="4" w:space="0"/>
            </w:tcBorders>
            <w:vAlign w:val="center"/>
          </w:tcPr>
          <w:p w14:paraId="474D9F4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w:t>
            </w:r>
          </w:p>
        </w:tc>
        <w:tc>
          <w:tcPr>
            <w:tcW w:w="5954" w:type="dxa"/>
            <w:tcBorders>
              <w:top w:val="single" w:color="auto" w:sz="4" w:space="0"/>
              <w:left w:val="single" w:color="auto" w:sz="4" w:space="0"/>
              <w:bottom w:val="single" w:color="auto" w:sz="4" w:space="0"/>
              <w:right w:val="single" w:color="auto" w:sz="4" w:space="0"/>
            </w:tcBorders>
            <w:vAlign w:val="center"/>
          </w:tcPr>
          <w:p w14:paraId="20C7C182">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p w14:paraId="4E87F476">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允许</w:t>
            </w:r>
          </w:p>
        </w:tc>
      </w:tr>
      <w:tr w14:paraId="4E1A0D7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F0D985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第二章2.1</w:t>
            </w:r>
          </w:p>
        </w:tc>
        <w:tc>
          <w:tcPr>
            <w:tcW w:w="2126" w:type="dxa"/>
            <w:tcBorders>
              <w:top w:val="single" w:color="auto" w:sz="4" w:space="0"/>
              <w:left w:val="single" w:color="auto" w:sz="4" w:space="0"/>
              <w:bottom w:val="single" w:color="auto" w:sz="4" w:space="0"/>
              <w:right w:val="single" w:color="auto" w:sz="4" w:space="0"/>
            </w:tcBorders>
            <w:vAlign w:val="center"/>
          </w:tcPr>
          <w:p w14:paraId="6EC28AE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构成招标文件的其他材料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4F18188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1E1FC89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77A2C0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第二章4.3</w:t>
            </w:r>
            <w:r>
              <w:rPr>
                <w:rFonts w:hint="eastAsia" w:ascii="宋体" w:hAnsi="宋体" w:eastAsia="宋体" w:cs="宋体"/>
                <w:color w:val="000000" w:themeColor="text1"/>
                <w:sz w:val="21"/>
                <w:szCs w:val="21"/>
                <w:lang w:val="zh-CN"/>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14:paraId="3BA1030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7E8296C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202</w:t>
            </w:r>
            <w:r>
              <w:rPr>
                <w:rFonts w:hint="eastAsia" w:ascii="宋体" w:hAnsi="宋体" w:eastAsia="宋体" w:cs="宋体"/>
                <w:color w:val="000000" w:themeColor="text1"/>
                <w:sz w:val="21"/>
                <w:szCs w:val="21"/>
                <w:u w:val="single"/>
                <w:lang w:val="en-US" w:eastAsia="zh-CN"/>
                <w14:textFill>
                  <w14:solidFill>
                    <w14:schemeClr w14:val="tx1"/>
                  </w14:solidFill>
                </w14:textFill>
              </w:rPr>
              <w:t>5</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0</w:t>
            </w:r>
            <w:r>
              <w:rPr>
                <w:rFonts w:hint="eastAsia" w:ascii="宋体" w:hAnsi="宋体" w:eastAsia="宋体" w:cs="宋体"/>
                <w:color w:val="000000" w:themeColor="text1"/>
                <w:sz w:val="21"/>
                <w:szCs w:val="21"/>
                <w:u w:val="single"/>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02</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xml:space="preserve"> 18 </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u w:val="single"/>
                <w14:textFill>
                  <w14:solidFill>
                    <w14:schemeClr w14:val="tx1"/>
                  </w14:solidFill>
                </w14:textFill>
              </w:rPr>
              <w:t xml:space="preserve"> 00  </w:t>
            </w:r>
            <w:r>
              <w:rPr>
                <w:rFonts w:hint="eastAsia" w:ascii="宋体" w:hAnsi="宋体" w:eastAsia="宋体" w:cs="宋体"/>
                <w:color w:val="000000" w:themeColor="text1"/>
                <w:sz w:val="21"/>
                <w:szCs w:val="21"/>
                <w14:textFill>
                  <w14:solidFill>
                    <w14:schemeClr w14:val="tx1"/>
                  </w14:solidFill>
                </w14:textFill>
              </w:rPr>
              <w:t>分</w:t>
            </w:r>
          </w:p>
        </w:tc>
      </w:tr>
      <w:tr w14:paraId="70906E7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2C396F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第二章2.2.1</w:t>
            </w:r>
          </w:p>
        </w:tc>
        <w:tc>
          <w:tcPr>
            <w:tcW w:w="2126" w:type="dxa"/>
            <w:tcBorders>
              <w:top w:val="single" w:color="auto" w:sz="4" w:space="0"/>
              <w:left w:val="single" w:color="auto" w:sz="4" w:space="0"/>
              <w:bottom w:val="single" w:color="auto" w:sz="4" w:space="0"/>
              <w:right w:val="single" w:color="auto" w:sz="4" w:space="0"/>
            </w:tcBorders>
            <w:vAlign w:val="center"/>
          </w:tcPr>
          <w:p w14:paraId="7C647A1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投标人要求澄清招标文件的截止时间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18B5F34F">
            <w:pPr>
              <w:widowControl/>
              <w:autoSpaceDE w:val="0"/>
              <w:autoSpaceDN w:val="0"/>
              <w:adjustRightInd w:val="0"/>
              <w:snapToGri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投标文件递交截止时间5日前。</w:t>
            </w:r>
          </w:p>
        </w:tc>
      </w:tr>
      <w:tr w14:paraId="03A7DF3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AEE2DC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第二章2.2.2</w:t>
            </w:r>
          </w:p>
        </w:tc>
        <w:tc>
          <w:tcPr>
            <w:tcW w:w="2126" w:type="dxa"/>
            <w:tcBorders>
              <w:top w:val="single" w:color="auto" w:sz="4" w:space="0"/>
              <w:left w:val="single" w:color="auto" w:sz="4" w:space="0"/>
              <w:bottom w:val="single" w:color="auto" w:sz="4" w:space="0"/>
              <w:right w:val="single" w:color="auto" w:sz="4" w:space="0"/>
            </w:tcBorders>
            <w:vAlign w:val="center"/>
          </w:tcPr>
          <w:p w14:paraId="36E1191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4137E20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收到标书2日内，以邮件盖章澄清为准。</w:t>
            </w:r>
          </w:p>
        </w:tc>
      </w:tr>
      <w:tr w14:paraId="6BEC539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8DC49E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第二章2.2.3</w:t>
            </w:r>
          </w:p>
        </w:tc>
        <w:tc>
          <w:tcPr>
            <w:tcW w:w="2126" w:type="dxa"/>
            <w:tcBorders>
              <w:top w:val="single" w:color="auto" w:sz="4" w:space="0"/>
              <w:left w:val="single" w:color="auto" w:sz="4" w:space="0"/>
              <w:bottom w:val="single" w:color="auto" w:sz="4" w:space="0"/>
              <w:right w:val="single" w:color="auto" w:sz="4" w:space="0"/>
            </w:tcBorders>
            <w:vAlign w:val="center"/>
          </w:tcPr>
          <w:p w14:paraId="340395C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投标人确认收到招标文件修改的时间</w:t>
            </w:r>
          </w:p>
        </w:tc>
        <w:tc>
          <w:tcPr>
            <w:tcW w:w="5954" w:type="dxa"/>
            <w:tcBorders>
              <w:top w:val="single" w:color="auto" w:sz="4" w:space="0"/>
              <w:left w:val="single" w:color="auto" w:sz="4" w:space="0"/>
              <w:bottom w:val="single" w:color="auto" w:sz="4" w:space="0"/>
              <w:right w:val="single" w:color="auto" w:sz="4" w:space="0"/>
            </w:tcBorders>
            <w:vAlign w:val="center"/>
          </w:tcPr>
          <w:p w14:paraId="214F179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收到修改文件2日内，以邮件盖章澄清为准。</w:t>
            </w:r>
          </w:p>
        </w:tc>
      </w:tr>
      <w:tr w14:paraId="663A75B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CFEC6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第二章3.3.1</w:t>
            </w:r>
          </w:p>
        </w:tc>
        <w:tc>
          <w:tcPr>
            <w:tcW w:w="2126" w:type="dxa"/>
            <w:tcBorders>
              <w:top w:val="single" w:color="auto" w:sz="4" w:space="0"/>
              <w:left w:val="single" w:color="auto" w:sz="4" w:space="0"/>
              <w:bottom w:val="single" w:color="auto" w:sz="4" w:space="0"/>
              <w:right w:val="single" w:color="auto" w:sz="4" w:space="0"/>
            </w:tcBorders>
            <w:vAlign w:val="center"/>
          </w:tcPr>
          <w:p w14:paraId="0794DC5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构成投标文件的其他材料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0F29ED4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w:t>
            </w:r>
            <w:r>
              <w:rPr>
                <w:rFonts w:ascii="宋体" w:hAnsi="宋体" w:eastAsia="宋体" w:cs="宋体"/>
                <w:color w:val="000000" w:themeColor="text1"/>
                <w:sz w:val="21"/>
                <w:szCs w:val="21"/>
                <w14:textFill>
                  <w14:solidFill>
                    <w14:schemeClr w14:val="tx1"/>
                  </w14:solidFill>
                </w14:textFill>
              </w:rPr>
              <w:t>标邀请函、招标文件、招标澄清文件等</w:t>
            </w:r>
            <w:r>
              <w:rPr>
                <w:rFonts w:hint="eastAsia" w:ascii="宋体" w:hAnsi="宋体" w:eastAsia="宋体" w:cs="宋体"/>
                <w:color w:val="000000" w:themeColor="text1"/>
                <w:sz w:val="21"/>
                <w:szCs w:val="21"/>
                <w14:textFill>
                  <w14:solidFill>
                    <w14:schemeClr w14:val="tx1"/>
                  </w14:solidFill>
                </w14:textFill>
              </w:rPr>
              <w:t>。</w:t>
            </w:r>
          </w:p>
        </w:tc>
      </w:tr>
      <w:tr w14:paraId="5955889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90D1B44">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1883AA8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最高投标限价或其计算方法</w:t>
            </w:r>
          </w:p>
        </w:tc>
        <w:tc>
          <w:tcPr>
            <w:tcW w:w="5954" w:type="dxa"/>
            <w:tcBorders>
              <w:top w:val="single" w:color="auto" w:sz="4" w:space="0"/>
              <w:left w:val="single" w:color="auto" w:sz="4" w:space="0"/>
              <w:bottom w:val="single" w:color="auto" w:sz="4" w:space="0"/>
              <w:right w:val="single" w:color="auto" w:sz="4" w:space="0"/>
            </w:tcBorders>
            <w:vAlign w:val="center"/>
          </w:tcPr>
          <w:p w14:paraId="1ABF670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不限投标价格。</w:t>
            </w:r>
          </w:p>
        </w:tc>
      </w:tr>
      <w:tr w14:paraId="0322D4F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5DE061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第二章3.6.1</w:t>
            </w:r>
          </w:p>
        </w:tc>
        <w:tc>
          <w:tcPr>
            <w:tcW w:w="2126" w:type="dxa"/>
            <w:tcBorders>
              <w:top w:val="single" w:color="auto" w:sz="4" w:space="0"/>
              <w:left w:val="single" w:color="auto" w:sz="4" w:space="0"/>
              <w:bottom w:val="single" w:color="auto" w:sz="4" w:space="0"/>
              <w:right w:val="single" w:color="auto" w:sz="4" w:space="0"/>
            </w:tcBorders>
            <w:vAlign w:val="center"/>
          </w:tcPr>
          <w:p w14:paraId="21B7D8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954" w:type="dxa"/>
            <w:tcBorders>
              <w:top w:val="single" w:color="auto" w:sz="4" w:space="0"/>
              <w:left w:val="single" w:color="auto" w:sz="4" w:space="0"/>
              <w:bottom w:val="single" w:color="auto" w:sz="4" w:space="0"/>
              <w:right w:val="single" w:color="auto" w:sz="4" w:space="0"/>
            </w:tcBorders>
            <w:vAlign w:val="center"/>
          </w:tcPr>
          <w:p w14:paraId="125497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投标截止时间后</w:t>
            </w:r>
            <w:r>
              <w:rPr>
                <w:rFonts w:hint="eastAsia" w:ascii="宋体" w:hAnsi="宋体" w:eastAsia="宋体" w:cs="宋体"/>
                <w:color w:val="000000" w:themeColor="text1"/>
                <w:sz w:val="21"/>
                <w:szCs w:val="21"/>
                <w:u w:val="single"/>
                <w14:textFill>
                  <w14:solidFill>
                    <w14:schemeClr w14:val="tx1"/>
                  </w14:solidFill>
                </w14:textFill>
              </w:rPr>
              <w:t>180</w:t>
            </w:r>
            <w:r>
              <w:rPr>
                <w:rFonts w:hint="eastAsia" w:ascii="宋体" w:hAnsi="宋体" w:eastAsia="宋体" w:cs="宋体"/>
                <w:color w:val="000000" w:themeColor="text1"/>
                <w:sz w:val="21"/>
                <w:szCs w:val="21"/>
                <w14:textFill>
                  <w14:solidFill>
                    <w14:schemeClr w14:val="tx1"/>
                  </w14:solidFill>
                </w14:textFill>
              </w:rPr>
              <w:t>天</w:t>
            </w:r>
          </w:p>
        </w:tc>
      </w:tr>
      <w:tr w14:paraId="54AA59C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EF34D12">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3D9C1CF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5954" w:type="dxa"/>
            <w:tcBorders>
              <w:top w:val="single" w:color="auto" w:sz="4" w:space="0"/>
              <w:left w:val="single" w:color="auto" w:sz="4" w:space="0"/>
              <w:bottom w:val="single" w:color="auto" w:sz="4" w:space="0"/>
              <w:right w:val="single" w:color="auto" w:sz="4" w:space="0"/>
            </w:tcBorders>
            <w:vAlign w:val="center"/>
          </w:tcPr>
          <w:p w14:paraId="29CF797C">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不要求递交投标保证金</w:t>
            </w:r>
          </w:p>
          <w:p w14:paraId="55AE03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□要求递交投标保证金</w:t>
            </w:r>
          </w:p>
          <w:p w14:paraId="04D8980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投标保证金的形式：</w:t>
            </w:r>
          </w:p>
          <w:p w14:paraId="178C3D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投标保证金的金额：</w:t>
            </w:r>
          </w:p>
        </w:tc>
      </w:tr>
      <w:tr w14:paraId="5B4B4BE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91F8BC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第二章3.5.2</w:t>
            </w:r>
          </w:p>
        </w:tc>
        <w:tc>
          <w:tcPr>
            <w:tcW w:w="2126" w:type="dxa"/>
            <w:tcBorders>
              <w:top w:val="single" w:color="auto" w:sz="4" w:space="0"/>
              <w:left w:val="single" w:color="auto" w:sz="4" w:space="0"/>
              <w:bottom w:val="single" w:color="auto" w:sz="4" w:space="0"/>
              <w:right w:val="single" w:color="auto" w:sz="4" w:space="0"/>
            </w:tcBorders>
            <w:vAlign w:val="center"/>
          </w:tcPr>
          <w:p w14:paraId="70A2C276">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近年财务状况的年份要求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3E133583">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3 </w:t>
            </w:r>
            <w:r>
              <w:rPr>
                <w:rFonts w:hint="eastAsia" w:ascii="宋体" w:hAnsi="宋体" w:eastAsia="宋体" w:cs="宋体"/>
                <w:color w:val="FF0000"/>
                <w:sz w:val="21"/>
                <w:szCs w:val="21"/>
              </w:rPr>
              <w:t>年</w:t>
            </w:r>
          </w:p>
        </w:tc>
      </w:tr>
      <w:tr w14:paraId="3E0EA7C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ACAF4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第二章3.5.3</w:t>
            </w:r>
          </w:p>
        </w:tc>
        <w:tc>
          <w:tcPr>
            <w:tcW w:w="2126" w:type="dxa"/>
            <w:tcBorders>
              <w:top w:val="single" w:color="auto" w:sz="4" w:space="0"/>
              <w:left w:val="single" w:color="auto" w:sz="4" w:space="0"/>
              <w:bottom w:val="single" w:color="auto" w:sz="4" w:space="0"/>
              <w:right w:val="single" w:color="auto" w:sz="4" w:space="0"/>
            </w:tcBorders>
            <w:vAlign w:val="center"/>
          </w:tcPr>
          <w:p w14:paraId="3FADC786">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近年完成的类似项目的年份要求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28F63C4A">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5 </w:t>
            </w:r>
            <w:r>
              <w:rPr>
                <w:rFonts w:hint="eastAsia" w:ascii="宋体" w:hAnsi="宋体" w:eastAsia="宋体" w:cs="宋体"/>
                <w:color w:val="FF0000"/>
                <w:sz w:val="21"/>
                <w:szCs w:val="21"/>
              </w:rPr>
              <w:t>年</w:t>
            </w:r>
          </w:p>
        </w:tc>
      </w:tr>
      <w:tr w14:paraId="7B5D0FF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62C7A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第二章3.9</w:t>
            </w:r>
          </w:p>
        </w:tc>
        <w:tc>
          <w:tcPr>
            <w:tcW w:w="2126" w:type="dxa"/>
            <w:tcBorders>
              <w:top w:val="single" w:color="auto" w:sz="4" w:space="0"/>
              <w:left w:val="single" w:color="auto" w:sz="4" w:space="0"/>
              <w:bottom w:val="single" w:color="auto" w:sz="4" w:space="0"/>
              <w:right w:val="single" w:color="auto" w:sz="4" w:space="0"/>
            </w:tcBorders>
            <w:vAlign w:val="center"/>
          </w:tcPr>
          <w:p w14:paraId="5B4A18B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签字或盖章要求</w:t>
            </w:r>
          </w:p>
        </w:tc>
        <w:tc>
          <w:tcPr>
            <w:tcW w:w="5954" w:type="dxa"/>
            <w:tcBorders>
              <w:top w:val="single" w:color="auto" w:sz="4" w:space="0"/>
              <w:left w:val="single" w:color="auto" w:sz="4" w:space="0"/>
              <w:bottom w:val="single" w:color="auto" w:sz="4" w:space="0"/>
              <w:right w:val="single" w:color="auto" w:sz="4" w:space="0"/>
            </w:tcBorders>
            <w:vAlign w:val="center"/>
          </w:tcPr>
          <w:p w14:paraId="2410462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投标函、授权委托书、投标报价表等由法定代表人或其委托代理人签字并盖单位章，其他内容按招标文件要求由法定代表人或其委托代理人在投标文件相应位置签字并（或）加盖单位公章。</w:t>
            </w:r>
          </w:p>
        </w:tc>
      </w:tr>
      <w:tr w14:paraId="4856A28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7AC2C6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第二章4.1</w:t>
            </w:r>
          </w:p>
        </w:tc>
        <w:tc>
          <w:tcPr>
            <w:tcW w:w="2126" w:type="dxa"/>
            <w:tcBorders>
              <w:top w:val="single" w:color="auto" w:sz="4" w:space="0"/>
              <w:left w:val="single" w:color="auto" w:sz="4" w:space="0"/>
              <w:bottom w:val="single" w:color="auto" w:sz="4" w:space="0"/>
              <w:right w:val="single" w:color="auto" w:sz="4" w:space="0"/>
            </w:tcBorders>
            <w:vAlign w:val="center"/>
          </w:tcPr>
          <w:p w14:paraId="78C08E7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投标文件副本份数</w:t>
            </w:r>
          </w:p>
        </w:tc>
        <w:tc>
          <w:tcPr>
            <w:tcW w:w="5954" w:type="dxa"/>
            <w:tcBorders>
              <w:top w:val="single" w:color="auto" w:sz="4" w:space="0"/>
              <w:left w:val="single" w:color="auto" w:sz="4" w:space="0"/>
              <w:bottom w:val="single" w:color="auto" w:sz="4" w:space="0"/>
              <w:right w:val="single" w:color="auto" w:sz="4" w:space="0"/>
            </w:tcBorders>
            <w:vAlign w:val="center"/>
          </w:tcPr>
          <w:p w14:paraId="330F3B79">
            <w:pPr>
              <w:kinsoku w:val="0"/>
              <w:overflowPunct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压缩包应含</w:t>
            </w:r>
            <w:r>
              <w:rPr>
                <w:rFonts w:hint="eastAsia" w:ascii="宋体" w:hAnsi="宋体" w:eastAsia="宋体" w:cs="宋体"/>
                <w:bCs/>
                <w:color w:val="000000" w:themeColor="text1"/>
                <w:sz w:val="21"/>
                <w:szCs w:val="21"/>
                <w14:textFill>
                  <w14:solidFill>
                    <w14:schemeClr w14:val="tx1"/>
                  </w14:solidFill>
                </w14:textFill>
              </w:rPr>
              <w:t>投标函、技术标、商务标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u w:val="single"/>
                <w14:textFill>
                  <w14:solidFill>
                    <w14:schemeClr w14:val="tx1"/>
                  </w14:solidFill>
                </w14:textFill>
              </w:rPr>
              <w:t>投标文件压缩时要求使用密码加密，开标时再提供密码解压。</w:t>
            </w:r>
          </w:p>
        </w:tc>
      </w:tr>
      <w:tr w14:paraId="38ED26C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32228A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4E9FCCF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5954" w:type="dxa"/>
            <w:tcBorders>
              <w:top w:val="single" w:color="auto" w:sz="4" w:space="0"/>
              <w:left w:val="single" w:color="auto" w:sz="4" w:space="0"/>
              <w:bottom w:val="single" w:color="auto" w:sz="4" w:space="0"/>
              <w:right w:val="single" w:color="auto" w:sz="4" w:space="0"/>
            </w:tcBorders>
            <w:vAlign w:val="center"/>
          </w:tcPr>
          <w:p w14:paraId="77822E0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w:t>
            </w:r>
            <w:r>
              <w:rPr>
                <w:rFonts w:ascii="宋体" w:hAnsi="宋体" w:eastAsia="宋体" w:cs="宋体"/>
                <w:color w:val="000000" w:themeColor="text1"/>
                <w:sz w:val="21"/>
                <w:szCs w:val="21"/>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函</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商</w:t>
            </w:r>
            <w:r>
              <w:rPr>
                <w:rFonts w:ascii="宋体" w:hAnsi="宋体" w:eastAsia="宋体" w:cs="宋体"/>
                <w:color w:val="000000" w:themeColor="text1"/>
                <w:sz w:val="21"/>
                <w:szCs w:val="21"/>
                <w14:textFill>
                  <w14:solidFill>
                    <w14:schemeClr w14:val="tx1"/>
                  </w14:solidFill>
                </w14:textFill>
              </w:rPr>
              <w:t>务资格文件</w:t>
            </w:r>
            <w:r>
              <w:rPr>
                <w:rFonts w:hint="eastAsia" w:ascii="宋体" w:hAnsi="宋体" w:eastAsia="宋体" w:cs="宋体"/>
                <w:color w:val="000000" w:themeColor="text1"/>
                <w:sz w:val="21"/>
                <w:szCs w:val="21"/>
                <w14:textFill>
                  <w14:solidFill>
                    <w14:schemeClr w14:val="tx1"/>
                  </w14:solidFill>
                </w14:textFill>
              </w:rPr>
              <w:t>每页加盖公章扫描成册</w:t>
            </w:r>
          </w:p>
        </w:tc>
      </w:tr>
      <w:tr w14:paraId="3BDE68C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B6820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0C877C1C">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封套上</w:t>
            </w:r>
            <w:r>
              <w:rPr>
                <w:rFonts w:hint="eastAsia" w:ascii="宋体" w:hAnsi="宋体" w:eastAsia="宋体" w:cs="宋体"/>
                <w:color w:val="000000" w:themeColor="text1"/>
                <w:sz w:val="21"/>
                <w:szCs w:val="21"/>
                <w14:textFill>
                  <w14:solidFill>
                    <w14:schemeClr w14:val="tx1"/>
                  </w14:solidFill>
                </w14:textFill>
              </w:rPr>
              <w:t>应载明的信息</w:t>
            </w:r>
          </w:p>
        </w:tc>
        <w:tc>
          <w:tcPr>
            <w:tcW w:w="5954" w:type="dxa"/>
            <w:tcBorders>
              <w:top w:val="single" w:color="auto" w:sz="4" w:space="0"/>
              <w:left w:val="single" w:color="auto" w:sz="4" w:space="0"/>
              <w:bottom w:val="single" w:color="auto" w:sz="4" w:space="0"/>
              <w:right w:val="single" w:color="auto" w:sz="4" w:space="0"/>
            </w:tcBorders>
            <w:vAlign w:val="center"/>
          </w:tcPr>
          <w:p w14:paraId="169EF7F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投标文件应进行包装、加贴封条，并在封套的封口处加盖投标人单位章。        </w:t>
            </w:r>
            <w:r>
              <w:rPr>
                <w:rFonts w:ascii="宋体" w:hAnsi="宋体" w:eastAsia="宋体" w:cs="宋体"/>
                <w:color w:val="000000" w:themeColor="text1"/>
                <w:sz w:val="21"/>
                <w:szCs w:val="21"/>
                <w14:textFill>
                  <w14:solidFill>
                    <w14:schemeClr w14:val="tx1"/>
                  </w14:solidFill>
                </w14:textFill>
              </w:rPr>
              <w:t xml:space="preserve"> </w:t>
            </w:r>
          </w:p>
          <w:p w14:paraId="6901BFC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所有投标文件的各密封件封面上需注明项目名称、项目编号、投标人名称及投标文件名称。</w:t>
            </w:r>
          </w:p>
          <w:p w14:paraId="0DBA914B">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在  年  月  日  时  </w:t>
            </w:r>
            <w:r>
              <w:rPr>
                <w:rFonts w:hint="eastAsia" w:ascii="宋体" w:hAnsi="宋体" w:eastAsia="宋体" w:cs="宋体"/>
                <w:color w:val="000000" w:themeColor="text1"/>
                <w:sz w:val="21"/>
                <w:szCs w:val="21"/>
                <w14:textFill>
                  <w14:solidFill>
                    <w14:schemeClr w14:val="tx1"/>
                  </w14:solidFill>
                </w14:textFill>
              </w:rPr>
              <w:t>分</w:t>
            </w:r>
            <w:r>
              <w:rPr>
                <w:rFonts w:ascii="宋体" w:hAnsi="宋体" w:eastAsia="宋体" w:cs="宋体"/>
                <w:color w:val="000000" w:themeColor="text1"/>
                <w:sz w:val="21"/>
                <w:szCs w:val="21"/>
                <w14:textFill>
                  <w14:solidFill>
                    <w14:schemeClr w14:val="tx1"/>
                  </w14:solidFill>
                </w14:textFill>
              </w:rPr>
              <w:t>前不得开启</w:t>
            </w:r>
          </w:p>
        </w:tc>
      </w:tr>
      <w:tr w14:paraId="66897A30">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14:paraId="28E3041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7FBD017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递交投标文件地点</w:t>
            </w:r>
          </w:p>
        </w:tc>
        <w:tc>
          <w:tcPr>
            <w:tcW w:w="5954" w:type="dxa"/>
            <w:tcBorders>
              <w:top w:val="single" w:color="auto" w:sz="4" w:space="0"/>
              <w:left w:val="single" w:color="auto" w:sz="4" w:space="0"/>
              <w:bottom w:val="single" w:color="auto" w:sz="4" w:space="0"/>
              <w:right w:val="single" w:color="auto" w:sz="4" w:space="0"/>
            </w:tcBorders>
            <w:vAlign w:val="center"/>
          </w:tcPr>
          <w:p w14:paraId="48F5413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http://ebidding.leoking.com/Bidding/list_125.aspx，线上投标</w:t>
            </w:r>
          </w:p>
        </w:tc>
      </w:tr>
      <w:tr w14:paraId="1E64B843">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41F930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2A6B794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是否退还投标文件</w:t>
            </w:r>
          </w:p>
        </w:tc>
        <w:tc>
          <w:tcPr>
            <w:tcW w:w="5954" w:type="dxa"/>
            <w:tcBorders>
              <w:top w:val="single" w:color="auto" w:sz="4" w:space="0"/>
              <w:left w:val="single" w:color="auto" w:sz="4" w:space="0"/>
              <w:bottom w:val="single" w:color="auto" w:sz="4" w:space="0"/>
              <w:right w:val="single" w:color="auto" w:sz="4" w:space="0"/>
            </w:tcBorders>
            <w:vAlign w:val="center"/>
          </w:tcPr>
          <w:p w14:paraId="7E24CB3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w:t>
            </w:r>
          </w:p>
          <w:p w14:paraId="436FB86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r>
      <w:tr w14:paraId="04C2D43F">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5424AC6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第二章5.1</w:t>
            </w:r>
          </w:p>
        </w:tc>
        <w:tc>
          <w:tcPr>
            <w:tcW w:w="2126" w:type="dxa"/>
            <w:tcBorders>
              <w:top w:val="single" w:color="auto" w:sz="4" w:space="0"/>
              <w:left w:val="single" w:color="auto" w:sz="4" w:space="0"/>
              <w:right w:val="single" w:color="auto" w:sz="4" w:space="0"/>
            </w:tcBorders>
            <w:vAlign w:val="center"/>
          </w:tcPr>
          <w:p w14:paraId="0D56AC1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开标时间和地点</w:t>
            </w:r>
          </w:p>
        </w:tc>
        <w:tc>
          <w:tcPr>
            <w:tcW w:w="5954" w:type="dxa"/>
            <w:tcBorders>
              <w:top w:val="single" w:color="auto" w:sz="4" w:space="0"/>
              <w:left w:val="single" w:color="auto" w:sz="4" w:space="0"/>
              <w:right w:val="single" w:color="auto" w:sz="4" w:space="0"/>
            </w:tcBorders>
            <w:vAlign w:val="center"/>
          </w:tcPr>
          <w:p w14:paraId="050B23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开标时间：同投标截止时间</w:t>
            </w:r>
          </w:p>
          <w:p w14:paraId="7488CFD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开标地点：同投标地址或另行通知。</w:t>
            </w:r>
          </w:p>
        </w:tc>
      </w:tr>
      <w:tr w14:paraId="66E59307">
        <w:tblPrEx>
          <w:tblCellMar>
            <w:top w:w="0" w:type="dxa"/>
            <w:left w:w="108" w:type="dxa"/>
            <w:bottom w:w="0" w:type="dxa"/>
            <w:right w:w="108" w:type="dxa"/>
          </w:tblCellMar>
        </w:tblPrEx>
        <w:trPr>
          <w:trHeight w:val="381" w:hRule="atLeast"/>
        </w:trPr>
        <w:tc>
          <w:tcPr>
            <w:tcW w:w="1526" w:type="dxa"/>
            <w:tcBorders>
              <w:top w:val="single" w:color="auto" w:sz="4" w:space="0"/>
              <w:left w:val="single" w:color="auto" w:sz="4" w:space="0"/>
              <w:right w:val="single" w:color="auto" w:sz="4" w:space="0"/>
            </w:tcBorders>
            <w:vAlign w:val="center"/>
          </w:tcPr>
          <w:p w14:paraId="76BEF58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第二章5.2</w:t>
            </w:r>
          </w:p>
        </w:tc>
        <w:tc>
          <w:tcPr>
            <w:tcW w:w="2126" w:type="dxa"/>
            <w:tcBorders>
              <w:top w:val="single" w:color="auto" w:sz="4" w:space="0"/>
              <w:left w:val="single" w:color="auto" w:sz="4" w:space="0"/>
              <w:right w:val="single" w:color="auto" w:sz="4" w:space="0"/>
            </w:tcBorders>
            <w:vAlign w:val="center"/>
          </w:tcPr>
          <w:p w14:paraId="25C215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开标程序</w:t>
            </w:r>
          </w:p>
        </w:tc>
        <w:tc>
          <w:tcPr>
            <w:tcW w:w="5954" w:type="dxa"/>
            <w:tcBorders>
              <w:top w:val="single" w:color="auto" w:sz="4" w:space="0"/>
              <w:left w:val="single" w:color="auto" w:sz="4" w:space="0"/>
              <w:right w:val="single" w:color="auto" w:sz="4" w:space="0"/>
            </w:tcBorders>
            <w:vAlign w:val="center"/>
          </w:tcPr>
          <w:p w14:paraId="113C99E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密封情况检查：检查包装、册书</w:t>
            </w:r>
          </w:p>
          <w:p w14:paraId="5CCEF4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开标顺序：☑按投标文件送达先后顺序；</w:t>
            </w:r>
            <w:r>
              <w:rPr>
                <w:rFonts w:ascii="宋体" w:hAnsi="宋体" w:eastAsia="宋体" w:cs="宋体"/>
                <w:color w:val="000000" w:themeColor="text1"/>
                <w:sz w:val="21"/>
                <w:szCs w:val="21"/>
                <w14:textFill>
                  <w14:solidFill>
                    <w14:schemeClr w14:val="tx1"/>
                  </w14:solidFill>
                </w14:textFill>
              </w:rPr>
              <w:t>商务</w:t>
            </w:r>
            <w:r>
              <w:rPr>
                <w:rFonts w:hint="eastAsia" w:ascii="宋体" w:hAnsi="宋体" w:eastAsia="宋体" w:cs="宋体"/>
                <w:color w:val="000000" w:themeColor="text1"/>
                <w:sz w:val="21"/>
                <w:szCs w:val="21"/>
                <w14:textFill>
                  <w14:solidFill>
                    <w14:schemeClr w14:val="tx1"/>
                  </w14:solidFill>
                </w14:textFill>
              </w:rPr>
              <w:t>标</w:t>
            </w:r>
            <w:r>
              <w:rPr>
                <w:rFonts w:ascii="宋体" w:hAnsi="宋体" w:eastAsia="宋体" w:cs="宋体"/>
                <w:color w:val="000000" w:themeColor="text1"/>
                <w:sz w:val="21"/>
                <w:szCs w:val="21"/>
                <w14:textFill>
                  <w14:solidFill>
                    <w14:schemeClr w14:val="tx1"/>
                  </w14:solidFill>
                </w14:textFill>
              </w:rPr>
              <w:t>、技术标</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投标函顺序开标。</w:t>
            </w:r>
            <w:r>
              <w:rPr>
                <w:rFonts w:hint="eastAsia" w:ascii="宋体" w:hAnsi="宋体" w:eastAsia="宋体" w:cs="宋体"/>
                <w:color w:val="000000" w:themeColor="text1"/>
                <w:sz w:val="21"/>
                <w:szCs w:val="21"/>
                <w:lang w:val="zh-CN"/>
                <w14:textFill>
                  <w14:solidFill>
                    <w14:schemeClr w14:val="tx1"/>
                  </w14:solidFill>
                </w14:textFill>
              </w:rPr>
              <w:t>审查投标人是否符合合格投标人的资格；投标文件是否完整；是否有计算错误；</w:t>
            </w:r>
            <w:r>
              <w:rPr>
                <w:rFonts w:hint="eastAsia" w:ascii="宋体" w:hAnsi="宋体" w:eastAsia="宋体" w:cs="宋体"/>
                <w:color w:val="000000" w:themeColor="text1"/>
                <w:sz w:val="21"/>
                <w:szCs w:val="21"/>
                <w14:textFill>
                  <w14:solidFill>
                    <w14:schemeClr w14:val="tx1"/>
                  </w14:solidFill>
                </w14:textFill>
              </w:rPr>
              <w:t>投标</w:t>
            </w:r>
            <w:r>
              <w:rPr>
                <w:rFonts w:hint="eastAsia" w:ascii="宋体" w:hAnsi="宋体" w:eastAsia="宋体" w:cs="宋体"/>
                <w:color w:val="000000" w:themeColor="text1"/>
                <w:sz w:val="21"/>
                <w:szCs w:val="21"/>
                <w:lang w:val="zh-CN"/>
                <w14:textFill>
                  <w14:solidFill>
                    <w14:schemeClr w14:val="tx1"/>
                  </w14:solidFill>
                </w14:textFill>
              </w:rPr>
              <w:t>文件是否恰当签署。</w:t>
            </w:r>
          </w:p>
        </w:tc>
      </w:tr>
      <w:tr w14:paraId="09412487">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2E5CED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第二章6.1.1</w:t>
            </w:r>
          </w:p>
        </w:tc>
        <w:tc>
          <w:tcPr>
            <w:tcW w:w="2126" w:type="dxa"/>
            <w:tcBorders>
              <w:top w:val="single" w:color="auto" w:sz="4" w:space="0"/>
              <w:left w:val="single" w:color="auto" w:sz="4" w:space="0"/>
              <w:right w:val="single" w:color="auto" w:sz="4" w:space="0"/>
            </w:tcBorders>
            <w:vAlign w:val="center"/>
          </w:tcPr>
          <w:p w14:paraId="13FBDF8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5954" w:type="dxa"/>
            <w:tcBorders>
              <w:top w:val="single" w:color="auto" w:sz="4" w:space="0"/>
              <w:left w:val="single" w:color="auto" w:sz="4" w:space="0"/>
              <w:right w:val="single" w:color="auto" w:sz="4" w:space="0"/>
            </w:tcBorders>
            <w:vAlign w:val="center"/>
          </w:tcPr>
          <w:p w14:paraId="3B8A8BB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评标委员会构成：</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人，其中技术代表</w:t>
            </w:r>
            <w:r>
              <w:rPr>
                <w:rFonts w:hint="eastAsia" w:ascii="宋体" w:hAnsi="宋体" w:eastAsia="宋体" w:cs="宋体"/>
                <w:color w:val="000000" w:themeColor="text1"/>
                <w:sz w:val="21"/>
                <w:szCs w:val="21"/>
                <w:u w:val="single"/>
                <w14:textFill>
                  <w14:solidFill>
                    <w14:schemeClr w14:val="tx1"/>
                  </w14:solidFill>
                </w14:textFill>
              </w:rPr>
              <w:t xml:space="preserve">  3 </w:t>
            </w:r>
            <w:r>
              <w:rPr>
                <w:rFonts w:hint="eastAsia" w:ascii="宋体" w:hAnsi="宋体" w:eastAsia="宋体" w:cs="宋体"/>
                <w:color w:val="000000" w:themeColor="text1"/>
                <w:sz w:val="21"/>
                <w:szCs w:val="21"/>
                <w14:textFill>
                  <w14:solidFill>
                    <w14:schemeClr w14:val="tx1"/>
                  </w14:solidFill>
                </w14:textFill>
              </w:rPr>
              <w:t>人，财务及其它</w:t>
            </w:r>
            <w:r>
              <w:rPr>
                <w:rFonts w:hint="eastAsia" w:ascii="宋体" w:hAnsi="宋体" w:eastAsia="宋体" w:cs="宋体"/>
                <w:color w:val="000000" w:themeColor="text1"/>
                <w:sz w:val="21"/>
                <w:szCs w:val="21"/>
                <w:u w:val="single"/>
                <w14:textFill>
                  <w14:solidFill>
                    <w14:schemeClr w14:val="tx1"/>
                  </w14:solidFill>
                </w14:textFill>
              </w:rPr>
              <w:t xml:space="preserve"> 2   </w:t>
            </w:r>
            <w:r>
              <w:rPr>
                <w:rFonts w:hint="eastAsia" w:ascii="宋体" w:hAnsi="宋体" w:eastAsia="宋体" w:cs="宋体"/>
                <w:color w:val="000000" w:themeColor="text1"/>
                <w:sz w:val="21"/>
                <w:szCs w:val="21"/>
                <w14:textFill>
                  <w14:solidFill>
                    <w14:schemeClr w14:val="tx1"/>
                  </w14:solidFill>
                </w14:textFill>
              </w:rPr>
              <w:t>人</w:t>
            </w:r>
          </w:p>
          <w:p w14:paraId="7AE1EE2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1A26C34B">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6F65F78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第二章7.1</w:t>
            </w:r>
          </w:p>
        </w:tc>
        <w:tc>
          <w:tcPr>
            <w:tcW w:w="2126" w:type="dxa"/>
            <w:tcBorders>
              <w:top w:val="single" w:color="auto" w:sz="4" w:space="0"/>
              <w:left w:val="single" w:color="auto" w:sz="4" w:space="0"/>
              <w:right w:val="single" w:color="auto" w:sz="4" w:space="0"/>
            </w:tcBorders>
            <w:vAlign w:val="center"/>
          </w:tcPr>
          <w:p w14:paraId="2E14878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是否授权评标委员会确定中标人</w:t>
            </w:r>
          </w:p>
        </w:tc>
        <w:tc>
          <w:tcPr>
            <w:tcW w:w="5954" w:type="dxa"/>
            <w:tcBorders>
              <w:top w:val="single" w:color="auto" w:sz="4" w:space="0"/>
              <w:left w:val="single" w:color="auto" w:sz="4" w:space="0"/>
              <w:right w:val="single" w:color="auto" w:sz="4" w:space="0"/>
            </w:tcBorders>
            <w:vAlign w:val="center"/>
          </w:tcPr>
          <w:p w14:paraId="57A3E8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p w14:paraId="364C05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否，推荐的中标候选人数：2-3家。</w:t>
            </w:r>
          </w:p>
        </w:tc>
      </w:tr>
      <w:tr w14:paraId="365F490E">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4015BD7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第二章7.2</w:t>
            </w:r>
          </w:p>
        </w:tc>
        <w:tc>
          <w:tcPr>
            <w:tcW w:w="2126" w:type="dxa"/>
            <w:tcBorders>
              <w:top w:val="single" w:color="auto" w:sz="4" w:space="0"/>
              <w:left w:val="single" w:color="auto" w:sz="4" w:space="0"/>
              <w:right w:val="single" w:color="auto" w:sz="4" w:space="0"/>
            </w:tcBorders>
            <w:vAlign w:val="center"/>
          </w:tcPr>
          <w:p w14:paraId="43F7180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中标候选人公示媒介</w:t>
            </w:r>
          </w:p>
        </w:tc>
        <w:tc>
          <w:tcPr>
            <w:tcW w:w="5954" w:type="dxa"/>
            <w:tcBorders>
              <w:top w:val="single" w:color="auto" w:sz="4" w:space="0"/>
              <w:left w:val="single" w:color="auto" w:sz="4" w:space="0"/>
              <w:right w:val="single" w:color="auto" w:sz="4" w:space="0"/>
            </w:tcBorders>
            <w:vAlign w:val="center"/>
          </w:tcPr>
          <w:p w14:paraId="4D7C231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招标人发函中标通知书</w:t>
            </w:r>
          </w:p>
        </w:tc>
      </w:tr>
      <w:tr w14:paraId="4764831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4A2845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第二章7.4.1</w:t>
            </w:r>
          </w:p>
        </w:tc>
        <w:tc>
          <w:tcPr>
            <w:tcW w:w="2126" w:type="dxa"/>
            <w:tcBorders>
              <w:top w:val="single" w:color="auto" w:sz="4" w:space="0"/>
              <w:left w:val="single" w:color="auto" w:sz="4" w:space="0"/>
              <w:bottom w:val="single" w:color="auto" w:sz="4" w:space="0"/>
              <w:right w:val="single" w:color="auto" w:sz="4" w:space="0"/>
            </w:tcBorders>
            <w:vAlign w:val="center"/>
          </w:tcPr>
          <w:p w14:paraId="3067382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5954" w:type="dxa"/>
            <w:tcBorders>
              <w:top w:val="single" w:color="auto" w:sz="4" w:space="0"/>
              <w:left w:val="single" w:color="auto" w:sz="4" w:space="0"/>
              <w:bottom w:val="single" w:color="auto" w:sz="4" w:space="0"/>
              <w:right w:val="single" w:color="auto" w:sz="4" w:space="0"/>
            </w:tcBorders>
            <w:vAlign w:val="center"/>
          </w:tcPr>
          <w:p w14:paraId="6E88A5E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有</w:t>
            </w:r>
          </w:p>
          <w:p w14:paraId="70A1C4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无</w:t>
            </w:r>
          </w:p>
          <w:p w14:paraId="42360FC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履约担保的形式：</w:t>
            </w:r>
          </w:p>
          <w:p w14:paraId="250572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履约担保的金额：</w:t>
            </w:r>
          </w:p>
        </w:tc>
      </w:tr>
      <w:tr w14:paraId="060C681E">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38A6A3F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r>
      <w:tr w14:paraId="4D4F472E">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230B92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24D35FE3">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4E80FB8E">
            <w:pPr>
              <w:spacing w:line="360" w:lineRule="auto"/>
              <w:jc w:val="left"/>
              <w:rPr>
                <w:rFonts w:ascii="宋体" w:hAnsi="宋体" w:eastAsia="宋体" w:cs="宋体"/>
                <w:color w:val="000000" w:themeColor="text1"/>
                <w:sz w:val="21"/>
                <w:szCs w:val="21"/>
                <w14:textFill>
                  <w14:solidFill>
                    <w14:schemeClr w14:val="tx1"/>
                  </w14:solidFill>
                </w14:textFill>
              </w:rPr>
            </w:pPr>
          </w:p>
        </w:tc>
      </w:tr>
    </w:tbl>
    <w:p w14:paraId="48354932">
      <w:pPr>
        <w:spacing w:before="120"/>
        <w:rPr>
          <w:rFonts w:ascii="宋体" w:hAnsi="宋体" w:eastAsia="宋体" w:cs="宋体"/>
          <w:color w:val="000000" w:themeColor="text1"/>
          <w14:textFill>
            <w14:solidFill>
              <w14:schemeClr w14:val="tx1"/>
            </w14:solidFill>
          </w14:textFill>
        </w:rPr>
      </w:pPr>
    </w:p>
    <w:p w14:paraId="33994A58">
      <w:pPr>
        <w:pStyle w:val="3"/>
        <w:rPr>
          <w:rFonts w:ascii="宋体" w:hAnsi="宋体" w:cs="宋体"/>
          <w:color w:val="000000" w:themeColor="text1"/>
          <w:sz w:val="24"/>
          <w:szCs w:val="24"/>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bookmarkStart w:id="67" w:name="_Toc8623"/>
      <w:bookmarkStart w:id="68" w:name="_Toc152045529"/>
      <w:bookmarkStart w:id="69" w:name="_Toc246996918"/>
      <w:bookmarkStart w:id="70" w:name="_Toc179632546"/>
      <w:bookmarkStart w:id="71" w:name="_Toc246996175"/>
      <w:bookmarkStart w:id="72" w:name="_Toc296602420"/>
      <w:bookmarkStart w:id="73" w:name="_Toc152042305"/>
      <w:bookmarkStart w:id="74" w:name="_Toc247085689"/>
      <w:bookmarkStart w:id="75" w:name="_Toc144974497"/>
    </w:p>
    <w:p w14:paraId="449E4A18">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76" w:name="_Toc10574"/>
      <w:bookmarkStart w:id="77" w:name="_Toc136173557"/>
      <w:r>
        <w:rPr>
          <w:rFonts w:hint="eastAsia" w:ascii="宋体" w:hAnsi="宋体" w:cs="宋体"/>
          <w:color w:val="000000" w:themeColor="text1"/>
          <w14:textFill>
            <w14:solidFill>
              <w14:schemeClr w14:val="tx1"/>
            </w14:solidFill>
          </w14:textFill>
        </w:rPr>
        <w:t>第二部分 投标人须知正文部分</w:t>
      </w:r>
      <w:bookmarkEnd w:id="67"/>
      <w:bookmarkEnd w:id="76"/>
      <w:bookmarkEnd w:id="77"/>
    </w:p>
    <w:p w14:paraId="4A5100FF">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78" w:name="_Toc22406"/>
      <w:bookmarkStart w:id="79" w:name="_Toc136173558"/>
      <w:r>
        <w:rPr>
          <w:rFonts w:hint="eastAsia" w:ascii="宋体" w:hAnsi="宋体" w:cs="宋体"/>
          <w:color w:val="000000" w:themeColor="text1"/>
          <w:sz w:val="24"/>
          <w:szCs w:val="24"/>
          <w14:textFill>
            <w14:solidFill>
              <w14:schemeClr w14:val="tx1"/>
            </w14:solidFill>
          </w14:textFill>
        </w:rPr>
        <w:t>1. 总则</w:t>
      </w:r>
      <w:bookmarkEnd w:id="68"/>
      <w:bookmarkEnd w:id="69"/>
      <w:bookmarkEnd w:id="70"/>
      <w:bookmarkEnd w:id="71"/>
      <w:bookmarkEnd w:id="72"/>
      <w:bookmarkEnd w:id="73"/>
      <w:bookmarkEnd w:id="74"/>
      <w:bookmarkEnd w:id="75"/>
      <w:bookmarkEnd w:id="78"/>
      <w:bookmarkEnd w:id="79"/>
    </w:p>
    <w:p w14:paraId="71D654D8">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80" w:name="_Toc136173559"/>
      <w:bookmarkStart w:id="81" w:name="_Toc247085690"/>
      <w:bookmarkStart w:id="82" w:name="_Toc296602421"/>
      <w:bookmarkStart w:id="83" w:name="_Toc144974498"/>
      <w:bookmarkStart w:id="84" w:name="_Toc179632547"/>
      <w:bookmarkStart w:id="85" w:name="_Toc152045530"/>
      <w:bookmarkStart w:id="86" w:name="_Toc152042306"/>
      <w:bookmarkStart w:id="87" w:name="_Toc246996919"/>
      <w:bookmarkStart w:id="88" w:name="_Toc246996176"/>
      <w:bookmarkStart w:id="89" w:name="_Toc10644"/>
      <w:r>
        <w:rPr>
          <w:rFonts w:hint="eastAsia" w:ascii="宋体" w:hAnsi="宋体" w:eastAsia="宋体" w:cs="宋体"/>
          <w:b/>
          <w:bCs/>
          <w:color w:val="000000" w:themeColor="text1"/>
          <w:szCs w:val="24"/>
          <w14:textFill>
            <w14:solidFill>
              <w14:schemeClr w14:val="tx1"/>
            </w14:solidFill>
          </w14:textFill>
        </w:rPr>
        <w:t>1.1 项目概况</w:t>
      </w:r>
      <w:bookmarkEnd w:id="80"/>
      <w:bookmarkEnd w:id="81"/>
      <w:bookmarkEnd w:id="82"/>
      <w:bookmarkEnd w:id="83"/>
      <w:bookmarkEnd w:id="84"/>
      <w:bookmarkEnd w:id="85"/>
      <w:bookmarkEnd w:id="86"/>
      <w:bookmarkEnd w:id="87"/>
      <w:bookmarkEnd w:id="88"/>
      <w:bookmarkEnd w:id="89"/>
    </w:p>
    <w:p w14:paraId="6BCEECD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1.1.1根据《中华人民共和国招标投标法》等有关法律、法规和规章的规定，本招标项目已具备招标条件，现对本项目</w:t>
      </w:r>
      <w:r>
        <w:rPr>
          <w:rFonts w:hint="eastAsia" w:ascii="宋体" w:hAnsi="宋体" w:eastAsia="宋体" w:cs="宋体"/>
          <w:color w:val="000000" w:themeColor="text1"/>
          <w:szCs w:val="24"/>
          <w:lang w:val="en-US" w:eastAsia="zh-CN"/>
          <w14:textFill>
            <w14:solidFill>
              <w14:schemeClr w14:val="tx1"/>
            </w14:solidFill>
          </w14:textFill>
        </w:rPr>
        <w:t>服务</w:t>
      </w:r>
      <w:r>
        <w:rPr>
          <w:rFonts w:hint="eastAsia" w:ascii="宋体" w:hAnsi="宋体" w:eastAsia="宋体" w:cs="宋体"/>
          <w:color w:val="000000" w:themeColor="text1"/>
          <w:szCs w:val="24"/>
          <w14:textFill>
            <w14:solidFill>
              <w14:schemeClr w14:val="tx1"/>
            </w14:solidFill>
          </w14:textFill>
        </w:rPr>
        <w:t>进行招标。</w:t>
      </w:r>
    </w:p>
    <w:p w14:paraId="26A0171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1.1.2 本招标项目招标人：见投标人须知前附表。</w:t>
      </w:r>
    </w:p>
    <w:p w14:paraId="6847EBB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1.1.3 本招标项目招标代理机构：见投标人须知前附表。</w:t>
      </w:r>
    </w:p>
    <w:p w14:paraId="7840BB1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1.1.4 本招标项目名称：见投标人须知前附表。</w:t>
      </w:r>
    </w:p>
    <w:p w14:paraId="3B148C5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1.1.5 本招标项目</w:t>
      </w:r>
      <w:r>
        <w:rPr>
          <w:rFonts w:hint="eastAsia" w:ascii="宋体" w:hAnsi="宋体" w:eastAsia="宋体" w:cs="宋体"/>
          <w:color w:val="000000" w:themeColor="text1"/>
          <w:szCs w:val="24"/>
          <w:lang w:val="en-US" w:eastAsia="zh-CN"/>
          <w14:textFill>
            <w14:solidFill>
              <w14:schemeClr w14:val="tx1"/>
            </w14:solidFill>
          </w14:textFill>
        </w:rPr>
        <w:t>服务</w:t>
      </w:r>
      <w:r>
        <w:rPr>
          <w:rFonts w:hint="eastAsia" w:ascii="宋体" w:hAnsi="宋体" w:eastAsia="宋体" w:cs="宋体"/>
          <w:color w:val="000000" w:themeColor="text1"/>
          <w:szCs w:val="24"/>
          <w14:textFill>
            <w14:solidFill>
              <w14:schemeClr w14:val="tx1"/>
            </w14:solidFill>
          </w14:textFill>
        </w:rPr>
        <w:t>地点：见投标人须知前附表。</w:t>
      </w:r>
    </w:p>
    <w:p w14:paraId="1C5BADC3">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90" w:name="_Toc136173560"/>
      <w:bookmarkStart w:id="91" w:name="_Toc246996177"/>
      <w:bookmarkStart w:id="92" w:name="_Toc247085691"/>
      <w:bookmarkStart w:id="93" w:name="_Toc296602422"/>
      <w:bookmarkStart w:id="94" w:name="_Toc6589"/>
      <w:bookmarkStart w:id="95" w:name="_Toc246996920"/>
      <w:bookmarkStart w:id="96" w:name="_Toc152045531"/>
      <w:bookmarkStart w:id="97" w:name="_Toc144974499"/>
      <w:bookmarkStart w:id="98" w:name="_Toc152042307"/>
      <w:bookmarkStart w:id="99" w:name="_Toc179632548"/>
      <w:r>
        <w:rPr>
          <w:rFonts w:hint="eastAsia" w:ascii="宋体" w:hAnsi="宋体" w:eastAsia="宋体" w:cs="宋体"/>
          <w:b/>
          <w:bCs/>
          <w:color w:val="000000" w:themeColor="text1"/>
          <w:szCs w:val="24"/>
          <w14:textFill>
            <w14:solidFill>
              <w14:schemeClr w14:val="tx1"/>
            </w14:solidFill>
          </w14:textFill>
        </w:rPr>
        <w:t>1.2 资金来源和落实情况</w:t>
      </w:r>
      <w:bookmarkEnd w:id="90"/>
      <w:bookmarkEnd w:id="91"/>
      <w:bookmarkEnd w:id="92"/>
      <w:bookmarkEnd w:id="93"/>
      <w:bookmarkEnd w:id="94"/>
      <w:bookmarkEnd w:id="95"/>
      <w:bookmarkEnd w:id="96"/>
      <w:bookmarkEnd w:id="97"/>
      <w:bookmarkEnd w:id="98"/>
      <w:bookmarkEnd w:id="99"/>
    </w:p>
    <w:p w14:paraId="7E8588B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 本招标项目的资金来源及出资比例：见投标人须知前附表。</w:t>
      </w:r>
    </w:p>
    <w:p w14:paraId="5DF868C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1.2.2 本招标项目的资金落实情况：见投标人须知前附表。</w:t>
      </w:r>
    </w:p>
    <w:p w14:paraId="28CA4BAF">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00" w:name="_Toc247085692"/>
      <w:bookmarkStart w:id="101" w:name="_Toc179632549"/>
      <w:bookmarkStart w:id="102" w:name="_Toc144974500"/>
      <w:bookmarkStart w:id="103" w:name="_Toc296602423"/>
      <w:bookmarkStart w:id="104" w:name="_Toc152042308"/>
      <w:bookmarkStart w:id="105" w:name="_Toc246996178"/>
      <w:bookmarkStart w:id="106" w:name="_Toc136173561"/>
      <w:bookmarkStart w:id="107" w:name="_Toc246996921"/>
      <w:bookmarkStart w:id="108" w:name="_Toc24823"/>
      <w:bookmarkStart w:id="109" w:name="_Toc152045532"/>
      <w:r>
        <w:rPr>
          <w:rFonts w:hint="eastAsia" w:ascii="宋体" w:hAnsi="宋体" w:eastAsia="宋体" w:cs="宋体"/>
          <w:b/>
          <w:bCs/>
          <w:color w:val="000000" w:themeColor="text1"/>
          <w:szCs w:val="24"/>
          <w14:textFill>
            <w14:solidFill>
              <w14:schemeClr w14:val="tx1"/>
            </w14:solidFill>
          </w14:textFill>
        </w:rPr>
        <w:t>1.3 招标范围、计划工期、质量要求</w:t>
      </w:r>
      <w:bookmarkEnd w:id="100"/>
      <w:bookmarkEnd w:id="101"/>
      <w:bookmarkEnd w:id="102"/>
      <w:bookmarkEnd w:id="103"/>
      <w:bookmarkEnd w:id="104"/>
      <w:bookmarkEnd w:id="105"/>
      <w:bookmarkEnd w:id="106"/>
      <w:bookmarkEnd w:id="107"/>
      <w:bookmarkEnd w:id="108"/>
      <w:bookmarkEnd w:id="109"/>
    </w:p>
    <w:p w14:paraId="3051DE6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 本次招标范围：见投标人须知前附表。</w:t>
      </w:r>
    </w:p>
    <w:p w14:paraId="5CF17BC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 本招标项目的计划工期：见投标人须知前附表。</w:t>
      </w:r>
    </w:p>
    <w:p w14:paraId="35C77EE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 本招标项目的质量要求：见投标人须知前附表。</w:t>
      </w:r>
    </w:p>
    <w:p w14:paraId="7625C44D">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10" w:name="_Toc152042310"/>
      <w:bookmarkStart w:id="111" w:name="_Toc136173562"/>
      <w:bookmarkStart w:id="112" w:name="_Toc144974502"/>
      <w:bookmarkStart w:id="113" w:name="_Toc246996179"/>
      <w:bookmarkStart w:id="114" w:name="_Toc152045534"/>
      <w:bookmarkStart w:id="115" w:name="_Toc296602424"/>
      <w:bookmarkStart w:id="116" w:name="_Toc247085693"/>
      <w:bookmarkStart w:id="117" w:name="_Toc246996922"/>
      <w:bookmarkStart w:id="118" w:name="_Toc9235"/>
      <w:bookmarkStart w:id="119" w:name="_Toc179632551"/>
      <w:r>
        <w:rPr>
          <w:rFonts w:hint="eastAsia" w:ascii="宋体" w:hAnsi="宋体" w:eastAsia="宋体" w:cs="宋体"/>
          <w:b/>
          <w:bCs/>
          <w:color w:val="000000" w:themeColor="text1"/>
          <w:szCs w:val="24"/>
          <w14:textFill>
            <w14:solidFill>
              <w14:schemeClr w14:val="tx1"/>
            </w14:solidFill>
          </w14:textFill>
        </w:rPr>
        <w:t>1.4 投标人资格要求</w:t>
      </w:r>
      <w:bookmarkEnd w:id="110"/>
      <w:bookmarkEnd w:id="111"/>
      <w:bookmarkEnd w:id="112"/>
      <w:bookmarkEnd w:id="113"/>
      <w:bookmarkEnd w:id="114"/>
      <w:bookmarkEnd w:id="115"/>
      <w:bookmarkEnd w:id="116"/>
      <w:bookmarkEnd w:id="117"/>
      <w:bookmarkEnd w:id="118"/>
      <w:bookmarkEnd w:id="119"/>
    </w:p>
    <w:p w14:paraId="25ECDD0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投标人应具备承担本项目</w:t>
      </w:r>
      <w:r>
        <w:rPr>
          <w:rFonts w:hint="eastAsia" w:ascii="宋体" w:hAnsi="宋体" w:eastAsia="宋体" w:cs="宋体"/>
          <w:color w:val="000000" w:themeColor="text1"/>
          <w:szCs w:val="24"/>
          <w:lang w:val="en-US" w:eastAsia="zh-CN"/>
          <w14:textFill>
            <w14:solidFill>
              <w14:schemeClr w14:val="tx1"/>
            </w14:solidFill>
          </w14:textFill>
        </w:rPr>
        <w:t>服务</w:t>
      </w:r>
      <w:r>
        <w:rPr>
          <w:rFonts w:hint="eastAsia" w:ascii="宋体" w:hAnsi="宋体" w:eastAsia="宋体" w:cs="宋体"/>
          <w:color w:val="000000" w:themeColor="text1"/>
          <w:szCs w:val="24"/>
          <w14:textFill>
            <w14:solidFill>
              <w14:schemeClr w14:val="tx1"/>
            </w14:solidFill>
          </w14:textFill>
        </w:rPr>
        <w:t>的资质条件、能力和信誉。</w:t>
      </w:r>
    </w:p>
    <w:p w14:paraId="6DA8A01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（1）资质条件：见投标人须知前附表；</w:t>
      </w:r>
    </w:p>
    <w:p w14:paraId="046E3ED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（2）项目经理资格：见投标人须知前附表；</w:t>
      </w:r>
    </w:p>
    <w:p w14:paraId="71C855C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（3）财务要求：见投标人须知前附表；</w:t>
      </w:r>
    </w:p>
    <w:p w14:paraId="0429ACB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（4）业绩要求：见投标人须知前附表；</w:t>
      </w:r>
    </w:p>
    <w:p w14:paraId="2965D10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（5）其他要求：见投标人须知前附表。</w:t>
      </w:r>
    </w:p>
    <w:p w14:paraId="471AFA0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 投标人不得存在下列情形之一：</w:t>
      </w:r>
    </w:p>
    <w:p w14:paraId="5E4E93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（1）为招标人不具有独立法人资格的附属机构（单位）；</w:t>
      </w:r>
    </w:p>
    <w:p w14:paraId="7732053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（2）为本招标项目前期准备提供设计或咨询服务的； </w:t>
      </w:r>
    </w:p>
    <w:p w14:paraId="6DFB24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（3）为本招标项目的监理人；</w:t>
      </w:r>
    </w:p>
    <w:p w14:paraId="41F60FC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（4）为本招标项目的代建人； </w:t>
      </w:r>
    </w:p>
    <w:p w14:paraId="20CADBB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（5）为本招标项目提供招标代理服务的； </w:t>
      </w:r>
    </w:p>
    <w:p w14:paraId="300DCA4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（6）与本招标项目的监理人或代建人或招标代理机构同为一个法定代表人的；</w:t>
      </w:r>
    </w:p>
    <w:p w14:paraId="4B07F83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（7）与本招标项目的监理人或代建人或招标代理机构相互控股或参股的；</w:t>
      </w:r>
    </w:p>
    <w:p w14:paraId="6824832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（8）与本招标项目的监理人或代建人或招标代理机构相互任职或工作的；</w:t>
      </w:r>
    </w:p>
    <w:p w14:paraId="02AA01D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（9）被责令停业的； </w:t>
      </w:r>
    </w:p>
    <w:p w14:paraId="27DB774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（10）被暂停或取消投标资格的； </w:t>
      </w:r>
    </w:p>
    <w:p w14:paraId="2FB168A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（11）财产被接管或冻结的；</w:t>
      </w:r>
    </w:p>
    <w:p w14:paraId="34AB004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（12）在最近三年内有骗取中标或严重违约或重大工程质量问题的。</w:t>
      </w:r>
    </w:p>
    <w:p w14:paraId="18BF30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 单位负责人为同一人或者存在控股、管理关系的不同单位，不得同时参加本招标项目投标。</w:t>
      </w:r>
    </w:p>
    <w:p w14:paraId="579798C4">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1.4.4 合格投标人资格审查资料要求：详见投标人须知前附表。</w:t>
      </w:r>
    </w:p>
    <w:p w14:paraId="7436D62F">
      <w:pPr>
        <w:autoSpaceDE w:val="0"/>
        <w:autoSpaceDN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合格投标人资格审查资料要求： </w:t>
      </w:r>
    </w:p>
    <w:p w14:paraId="6DD183E4">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附表1 投标人企业基本情况表；</w:t>
      </w:r>
    </w:p>
    <w:p w14:paraId="1A5AF0F3">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附表2 法定代表人资格证明书（三证合一）和企业法人证明书；</w:t>
      </w:r>
    </w:p>
    <w:p w14:paraId="269C938A">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附表3 投标人企业资质、生产安全许可证，或能按照采购方要求提供相关的能力证明；</w:t>
      </w:r>
    </w:p>
    <w:p w14:paraId="5F08CFEB">
      <w:pPr>
        <w:autoSpaceDE w:val="0"/>
        <w:autoSpaceDN w:val="0"/>
        <w:adjustRightInd w:val="0"/>
        <w:spacing w:line="360" w:lineRule="auto"/>
        <w:ind w:left="1055" w:leftChars="177" w:hanging="630" w:hangingChars="3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附表4 近五年企业履约情况表，提供2份以上国内相似案例销售合同（可隐藏单价）和竣工报告或用户报告，成熟稳定运行、可供实地考察的项目案例；</w:t>
      </w:r>
    </w:p>
    <w:p w14:paraId="3EB92FE7">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附表5 投标授权委托书及最近三个月社保缴纳证明；</w:t>
      </w:r>
    </w:p>
    <w:p w14:paraId="6D6595EE">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附表6 拟派出技术负责人简历表；</w:t>
      </w:r>
    </w:p>
    <w:p w14:paraId="6042AB5D">
      <w:pPr>
        <w:autoSpaceDE w:val="0"/>
        <w:autoSpaceDN w:val="0"/>
        <w:adjustRightInd w:val="0"/>
        <w:spacing w:line="360" w:lineRule="auto"/>
        <w:ind w:left="1160" w:leftChars="177"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附表7 近1年财务审计报表和企业信誉资质证明，要求投标人具有良好的银行资信和商业信誉；</w:t>
      </w:r>
    </w:p>
    <w:p w14:paraId="0E46D807">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 投标承诺书；</w:t>
      </w:r>
    </w:p>
    <w:p w14:paraId="7F26E7BF">
      <w:pPr>
        <w:autoSpaceDE w:val="0"/>
        <w:autoSpaceDN w:val="0"/>
        <w:adjustRightInd w:val="0"/>
        <w:spacing w:line="360" w:lineRule="auto"/>
        <w:ind w:left="1215" w:leftChars="200"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附表8招标方认为需满足的其它条件后续补充，收到招标邀请并不代表投标人完全具备合格投标资格，需要再评定。</w:t>
      </w:r>
    </w:p>
    <w:p w14:paraId="4E1FEEDF">
      <w:pPr>
        <w:autoSpaceDE w:val="0"/>
        <w:autoSpaceDN w:val="0"/>
        <w:spacing w:line="360" w:lineRule="auto"/>
        <w:ind w:firstLine="525" w:firstLineChars="2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投标人提交的所有书面材料必须真实、准确、完整，如有隐瞒，其投标文件作废标处理。</w:t>
      </w:r>
    </w:p>
    <w:p w14:paraId="59A75722">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20" w:name="_Toc296602425"/>
      <w:bookmarkStart w:id="121" w:name="_Toc152042311"/>
      <w:bookmarkStart w:id="122" w:name="_Toc247085694"/>
      <w:bookmarkStart w:id="123" w:name="_Toc136173563"/>
      <w:bookmarkStart w:id="124" w:name="_Toc246996923"/>
      <w:bookmarkStart w:id="125" w:name="_Toc179632552"/>
      <w:bookmarkStart w:id="126" w:name="_Toc152045535"/>
      <w:bookmarkStart w:id="127" w:name="_Toc12433"/>
      <w:bookmarkStart w:id="128" w:name="_Toc144974503"/>
      <w:bookmarkStart w:id="129" w:name="_Toc246996180"/>
      <w:r>
        <w:rPr>
          <w:rFonts w:hint="eastAsia" w:ascii="宋体" w:hAnsi="宋体" w:eastAsia="宋体" w:cs="宋体"/>
          <w:b/>
          <w:bCs/>
          <w:color w:val="000000" w:themeColor="text1"/>
          <w:szCs w:val="24"/>
          <w14:textFill>
            <w14:solidFill>
              <w14:schemeClr w14:val="tx1"/>
            </w14:solidFill>
          </w14:textFill>
        </w:rPr>
        <w:t>1.5 费用承担</w:t>
      </w:r>
      <w:bookmarkEnd w:id="120"/>
      <w:bookmarkEnd w:id="121"/>
      <w:bookmarkEnd w:id="122"/>
      <w:bookmarkEnd w:id="123"/>
      <w:bookmarkEnd w:id="124"/>
      <w:bookmarkEnd w:id="125"/>
      <w:bookmarkEnd w:id="126"/>
      <w:bookmarkEnd w:id="127"/>
      <w:bookmarkEnd w:id="128"/>
      <w:bookmarkEnd w:id="129"/>
    </w:p>
    <w:p w14:paraId="2330DC0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1.5.1投标人准备和参加投标活动发生的费用自理。</w:t>
      </w:r>
    </w:p>
    <w:p w14:paraId="1A38C708">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30" w:name="_Toc246996181"/>
      <w:bookmarkStart w:id="131" w:name="_Toc152045536"/>
      <w:bookmarkStart w:id="132" w:name="_Toc246996924"/>
      <w:bookmarkStart w:id="133" w:name="_Toc152042312"/>
      <w:bookmarkStart w:id="134" w:name="_Toc26900"/>
      <w:bookmarkStart w:id="135" w:name="_Toc144974504"/>
      <w:bookmarkStart w:id="136" w:name="_Toc136173564"/>
      <w:bookmarkStart w:id="137" w:name="_Toc296602426"/>
      <w:bookmarkStart w:id="138" w:name="_Toc179632553"/>
      <w:bookmarkStart w:id="139" w:name="_Toc247085695"/>
      <w:r>
        <w:rPr>
          <w:rFonts w:hint="eastAsia" w:ascii="宋体" w:hAnsi="宋体" w:eastAsia="宋体" w:cs="宋体"/>
          <w:b/>
          <w:bCs/>
          <w:color w:val="000000" w:themeColor="text1"/>
          <w:szCs w:val="24"/>
          <w14:textFill>
            <w14:solidFill>
              <w14:schemeClr w14:val="tx1"/>
            </w14:solidFill>
          </w14:textFill>
        </w:rPr>
        <w:t>1.6 保密</w:t>
      </w:r>
      <w:bookmarkEnd w:id="130"/>
      <w:bookmarkEnd w:id="131"/>
      <w:bookmarkEnd w:id="132"/>
      <w:bookmarkEnd w:id="133"/>
      <w:bookmarkEnd w:id="134"/>
      <w:bookmarkEnd w:id="135"/>
      <w:bookmarkEnd w:id="136"/>
      <w:bookmarkEnd w:id="137"/>
      <w:bookmarkEnd w:id="138"/>
      <w:bookmarkEnd w:id="139"/>
    </w:p>
    <w:p w14:paraId="0BB3AFB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参与招标投标活动的各方应对招标文件和投标文件中的商业和技术等秘密保密，违者应对由此造成的后果承担法律责任。</w:t>
      </w:r>
    </w:p>
    <w:p w14:paraId="0F281789">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40" w:name="_Toc144974505"/>
      <w:bookmarkStart w:id="141" w:name="_Toc18247"/>
      <w:bookmarkStart w:id="142" w:name="_Toc152042313"/>
      <w:bookmarkStart w:id="143" w:name="_Toc136173565"/>
      <w:bookmarkStart w:id="144" w:name="_Toc246996182"/>
      <w:bookmarkStart w:id="145" w:name="_Toc152045537"/>
      <w:bookmarkStart w:id="146" w:name="_Toc247085696"/>
      <w:bookmarkStart w:id="147" w:name="_Toc246996925"/>
      <w:bookmarkStart w:id="148" w:name="_Toc179632554"/>
      <w:bookmarkStart w:id="149" w:name="_Toc296602427"/>
      <w:r>
        <w:rPr>
          <w:rFonts w:hint="eastAsia" w:ascii="宋体" w:hAnsi="宋体" w:eastAsia="宋体" w:cs="宋体"/>
          <w:b/>
          <w:bCs/>
          <w:color w:val="000000" w:themeColor="text1"/>
          <w:szCs w:val="24"/>
          <w14:textFill>
            <w14:solidFill>
              <w14:schemeClr w14:val="tx1"/>
            </w14:solidFill>
          </w14:textFill>
        </w:rPr>
        <w:t>1.7 语言</w:t>
      </w:r>
      <w:bookmarkEnd w:id="140"/>
      <w:r>
        <w:rPr>
          <w:rFonts w:hint="eastAsia" w:ascii="宋体" w:hAnsi="宋体" w:eastAsia="宋体" w:cs="宋体"/>
          <w:b/>
          <w:bCs/>
          <w:color w:val="000000" w:themeColor="text1"/>
          <w:szCs w:val="24"/>
          <w14:textFill>
            <w14:solidFill>
              <w14:schemeClr w14:val="tx1"/>
            </w14:solidFill>
          </w14:textFill>
        </w:rPr>
        <w:t>文字</w:t>
      </w:r>
      <w:bookmarkEnd w:id="141"/>
      <w:bookmarkEnd w:id="142"/>
      <w:bookmarkEnd w:id="143"/>
      <w:bookmarkEnd w:id="144"/>
      <w:bookmarkEnd w:id="145"/>
      <w:bookmarkEnd w:id="146"/>
      <w:bookmarkEnd w:id="147"/>
      <w:bookmarkEnd w:id="148"/>
      <w:bookmarkEnd w:id="149"/>
    </w:p>
    <w:p w14:paraId="15D0C31D">
      <w:pPr>
        <w:spacing w:line="360" w:lineRule="auto"/>
        <w:jc w:val="left"/>
        <w:rPr>
          <w:rFonts w:ascii="宋体" w:hAnsi="宋体" w:eastAsia="宋体" w:cs="宋体"/>
          <w:color w:val="000000" w:themeColor="text1"/>
          <w:szCs w:val="24"/>
          <w14:textFill>
            <w14:solidFill>
              <w14:schemeClr w14:val="tx1"/>
            </w14:solidFill>
          </w14:textFill>
        </w:rPr>
      </w:pPr>
      <w:bookmarkStart w:id="150" w:name="_Toc246996926"/>
      <w:bookmarkStart w:id="151" w:name="_Toc152045538"/>
      <w:bookmarkStart w:id="152" w:name="_Toc144974506"/>
      <w:bookmarkStart w:id="153" w:name="_Toc247085697"/>
      <w:bookmarkStart w:id="154" w:name="_Toc152042314"/>
      <w:bookmarkStart w:id="155" w:name="_Toc246996183"/>
      <w:bookmarkStart w:id="156" w:name="_Toc179632555"/>
      <w:r>
        <w:rPr>
          <w:rFonts w:hint="eastAsia" w:ascii="宋体" w:hAnsi="宋体" w:eastAsia="宋体" w:cs="宋体"/>
          <w:color w:val="000000" w:themeColor="text1"/>
          <w:szCs w:val="24"/>
          <w14:textFill>
            <w14:solidFill>
              <w14:schemeClr w14:val="tx1"/>
            </w14:solidFill>
          </w14:textFill>
        </w:rPr>
        <w:t>招标投标文件使用的语言文字为中文。专用术语使用外文的，应附有中文注释。</w:t>
      </w:r>
    </w:p>
    <w:p w14:paraId="37D1E944">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57" w:name="_Toc296602428"/>
      <w:bookmarkStart w:id="158" w:name="_Toc28783"/>
      <w:bookmarkStart w:id="159" w:name="_Toc136173566"/>
      <w:r>
        <w:rPr>
          <w:rFonts w:hint="eastAsia" w:ascii="宋体" w:hAnsi="宋体" w:eastAsia="宋体" w:cs="宋体"/>
          <w:b/>
          <w:bCs/>
          <w:color w:val="000000" w:themeColor="text1"/>
          <w:szCs w:val="24"/>
          <w14:textFill>
            <w14:solidFill>
              <w14:schemeClr w14:val="tx1"/>
            </w14:solidFill>
          </w14:textFill>
        </w:rPr>
        <w:t>1.8 计量单位</w:t>
      </w:r>
      <w:bookmarkEnd w:id="150"/>
      <w:bookmarkEnd w:id="151"/>
      <w:bookmarkEnd w:id="152"/>
      <w:bookmarkEnd w:id="153"/>
      <w:bookmarkEnd w:id="154"/>
      <w:bookmarkEnd w:id="155"/>
      <w:bookmarkEnd w:id="156"/>
      <w:bookmarkEnd w:id="157"/>
      <w:bookmarkEnd w:id="158"/>
      <w:bookmarkEnd w:id="159"/>
    </w:p>
    <w:p w14:paraId="73684DE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所有计量均采用中华人民共和国法定计量单位。</w:t>
      </w:r>
    </w:p>
    <w:p w14:paraId="45318FBA">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60" w:name="_Toc247527563"/>
      <w:bookmarkStart w:id="161" w:name="_Toc144974507"/>
      <w:bookmarkStart w:id="162" w:name="_Toc296602429"/>
      <w:bookmarkStart w:id="163" w:name="_Toc136173567"/>
      <w:bookmarkStart w:id="164" w:name="_Toc152045539"/>
      <w:bookmarkStart w:id="165" w:name="_Toc22751"/>
      <w:bookmarkStart w:id="166" w:name="_Toc152042315"/>
      <w:bookmarkStart w:id="167" w:name="_Toc247513962"/>
      <w:bookmarkStart w:id="168" w:name="_Toc247592876"/>
      <w:r>
        <w:rPr>
          <w:rFonts w:hint="eastAsia" w:ascii="宋体" w:hAnsi="宋体" w:eastAsia="宋体" w:cs="宋体"/>
          <w:b/>
          <w:bCs/>
          <w:color w:val="000000" w:themeColor="text1"/>
          <w:szCs w:val="24"/>
          <w14:textFill>
            <w14:solidFill>
              <w14:schemeClr w14:val="tx1"/>
            </w14:solidFill>
          </w14:textFill>
        </w:rPr>
        <w:t>1.9 踏勘现场</w:t>
      </w:r>
      <w:bookmarkEnd w:id="160"/>
      <w:bookmarkEnd w:id="161"/>
      <w:bookmarkEnd w:id="162"/>
      <w:bookmarkEnd w:id="163"/>
      <w:bookmarkEnd w:id="164"/>
      <w:bookmarkEnd w:id="165"/>
      <w:bookmarkEnd w:id="166"/>
      <w:bookmarkEnd w:id="167"/>
      <w:bookmarkEnd w:id="168"/>
    </w:p>
    <w:p w14:paraId="6C7E824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1.9.1 投标人须知前附表规定组织踏勘现场的，招标人按投标人须知前附表规定的时间、地点组织投标人踏勘项目现场。 </w:t>
      </w:r>
    </w:p>
    <w:p w14:paraId="7279D2A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1.9.2 投标人踏勘现场发生的费用自理。</w:t>
      </w:r>
    </w:p>
    <w:p w14:paraId="54BDC7E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1.9.3 除招标人的原因外，投标人自行负责在踏勘现场中所发生的人员伤亡和财产损失。</w:t>
      </w:r>
    </w:p>
    <w:p w14:paraId="35F6965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340AC697">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69" w:name="_Toc247513963"/>
      <w:bookmarkStart w:id="170" w:name="_Toc152045540"/>
      <w:bookmarkStart w:id="171" w:name="_Toc247527564"/>
      <w:bookmarkStart w:id="172" w:name="_Toc144974508"/>
      <w:bookmarkStart w:id="173" w:name="_Toc247592877"/>
      <w:bookmarkStart w:id="174" w:name="_Toc136173568"/>
      <w:bookmarkStart w:id="175" w:name="_Toc9795"/>
      <w:bookmarkStart w:id="176" w:name="_Toc296602430"/>
      <w:bookmarkStart w:id="177" w:name="_Toc152042316"/>
      <w:r>
        <w:rPr>
          <w:rFonts w:hint="eastAsia" w:ascii="宋体" w:hAnsi="宋体" w:eastAsia="宋体" w:cs="宋体"/>
          <w:b/>
          <w:bCs/>
          <w:color w:val="000000" w:themeColor="text1"/>
          <w:szCs w:val="24"/>
          <w14:textFill>
            <w14:solidFill>
              <w14:schemeClr w14:val="tx1"/>
            </w14:solidFill>
          </w14:textFill>
        </w:rPr>
        <w:t>1.10 投标预备会</w:t>
      </w:r>
      <w:bookmarkEnd w:id="169"/>
      <w:bookmarkEnd w:id="170"/>
      <w:bookmarkEnd w:id="171"/>
      <w:bookmarkEnd w:id="172"/>
      <w:bookmarkEnd w:id="173"/>
      <w:bookmarkEnd w:id="174"/>
      <w:bookmarkEnd w:id="175"/>
      <w:bookmarkEnd w:id="176"/>
      <w:bookmarkEnd w:id="177"/>
    </w:p>
    <w:p w14:paraId="78CA2E1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1.10.1 投标人须知前附表规定召开投标预备会的，招标人按投标人须知前附表规定的时间和地点召开投标预备会，澄清投标人提出的问题。</w:t>
      </w:r>
    </w:p>
    <w:p w14:paraId="68EB164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1.10.2 投标人应在投标人须知前附表规定的时间前，以书面形式将提出的问题送达招标人，以便招标人在会议期间澄清。</w:t>
      </w:r>
    </w:p>
    <w:p w14:paraId="0D9F56B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1.10.3 投标预备会后，招标人在投标人须知前附表规定的时间内，将对投标人所提问题的澄清，以书面形式通知所有购买招标文件的投标人。该澄清内容为招标文件的组成部分。</w:t>
      </w:r>
    </w:p>
    <w:p w14:paraId="1E2E4FC8">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78" w:name="_Toc296602431"/>
      <w:bookmarkStart w:id="179" w:name="_Toc136173569"/>
      <w:bookmarkStart w:id="180" w:name="_Toc21167"/>
      <w:r>
        <w:rPr>
          <w:rFonts w:hint="eastAsia" w:ascii="宋体" w:hAnsi="宋体" w:eastAsia="宋体" w:cs="宋体"/>
          <w:b/>
          <w:bCs/>
          <w:color w:val="000000" w:themeColor="text1"/>
          <w:szCs w:val="24"/>
          <w14:textFill>
            <w14:solidFill>
              <w14:schemeClr w14:val="tx1"/>
            </w14:solidFill>
          </w14:textFill>
        </w:rPr>
        <w:t>1.11 偏离</w:t>
      </w:r>
      <w:bookmarkEnd w:id="178"/>
      <w:bookmarkEnd w:id="179"/>
      <w:bookmarkEnd w:id="180"/>
    </w:p>
    <w:p w14:paraId="413350D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投标人须知前附表允许投标文件偏离招标文件某些要求的，偏离应当符合招标文件规定的偏离范围和幅度。</w:t>
      </w:r>
    </w:p>
    <w:p w14:paraId="329D48E4">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81" w:name="_Toc136173570"/>
      <w:bookmarkStart w:id="182" w:name="_Toc21906"/>
      <w:r>
        <w:rPr>
          <w:rFonts w:hint="eastAsia" w:ascii="宋体" w:hAnsi="宋体" w:eastAsia="宋体" w:cs="宋体"/>
          <w:b/>
          <w:bCs/>
          <w:color w:val="000000" w:themeColor="text1"/>
          <w:szCs w:val="24"/>
          <w14:textFill>
            <w14:solidFill>
              <w14:schemeClr w14:val="tx1"/>
            </w14:solidFill>
          </w14:textFill>
        </w:rPr>
        <w:t>1.12知识产权声明</w:t>
      </w:r>
      <w:bookmarkEnd w:id="181"/>
      <w:bookmarkEnd w:id="182"/>
    </w:p>
    <w:p w14:paraId="640DD6F0">
      <w:pPr>
        <w:pStyle w:val="107"/>
        <w:ind w:firstLine="0" w:firstLineChars="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应保证招标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在中华人民共和国境内使用本项目的投标货物、资料、技术、服务或其任何一部分时，享有不受限制的无偿使用权，不会产生因第三方提出侵犯其专利、商标权或其它知识产权而引起的法律和经济纠纷；如果投标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不拥有相应的知识产权，则须在报价中包括合法获取该知识产权的相关费用，并在响应文件中附有关证明文件。</w:t>
      </w:r>
    </w:p>
    <w:p w14:paraId="6E91CC8C">
      <w:pPr>
        <w:spacing w:line="360" w:lineRule="auto"/>
        <w:ind w:firstLine="480" w:firstLineChars="200"/>
        <w:rPr>
          <w:rFonts w:ascii="宋体" w:hAnsi="宋体" w:eastAsia="宋体" w:cs="宋体"/>
          <w:color w:val="000000" w:themeColor="text1"/>
          <w:szCs w:val="24"/>
          <w14:textFill>
            <w14:solidFill>
              <w14:schemeClr w14:val="tx1"/>
            </w14:solidFill>
          </w14:textFill>
        </w:rPr>
      </w:pPr>
    </w:p>
    <w:p w14:paraId="6CCDF4A3">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183" w:name="_Toc144974510"/>
      <w:bookmarkStart w:id="184" w:name="_Toc8870"/>
      <w:bookmarkStart w:id="185" w:name="_Toc152042318"/>
      <w:bookmarkStart w:id="186" w:name="_Toc247085701"/>
      <w:bookmarkStart w:id="187" w:name="_Toc136173571"/>
      <w:bookmarkStart w:id="188" w:name="_Toc152045542"/>
      <w:bookmarkStart w:id="189" w:name="_Toc179632560"/>
      <w:bookmarkStart w:id="190" w:name="_Toc246996187"/>
      <w:bookmarkStart w:id="191" w:name="_Toc296602432"/>
      <w:bookmarkStart w:id="192" w:name="_Toc246996930"/>
      <w:r>
        <w:rPr>
          <w:rFonts w:hint="eastAsia" w:ascii="宋体" w:hAnsi="宋体" w:cs="宋体"/>
          <w:color w:val="000000" w:themeColor="text1"/>
          <w:sz w:val="24"/>
          <w:szCs w:val="24"/>
          <w14:textFill>
            <w14:solidFill>
              <w14:schemeClr w14:val="tx1"/>
            </w14:solidFill>
          </w14:textFill>
        </w:rPr>
        <w:t>2. 招标文件</w:t>
      </w:r>
      <w:bookmarkEnd w:id="183"/>
      <w:bookmarkEnd w:id="184"/>
      <w:bookmarkEnd w:id="185"/>
      <w:bookmarkEnd w:id="186"/>
      <w:bookmarkEnd w:id="187"/>
      <w:bookmarkEnd w:id="188"/>
      <w:bookmarkEnd w:id="189"/>
      <w:bookmarkEnd w:id="190"/>
      <w:bookmarkEnd w:id="191"/>
      <w:bookmarkEnd w:id="192"/>
    </w:p>
    <w:p w14:paraId="3AA647E2">
      <w:pPr>
        <w:spacing w:line="360" w:lineRule="auto"/>
        <w:outlineLvl w:val="2"/>
        <w:rPr>
          <w:rFonts w:ascii="宋体" w:hAnsi="宋体" w:eastAsia="宋体" w:cs="宋体"/>
          <w:b/>
          <w:bCs/>
          <w:color w:val="000000" w:themeColor="text1"/>
          <w:szCs w:val="24"/>
          <w14:textFill>
            <w14:solidFill>
              <w14:schemeClr w14:val="tx1"/>
            </w14:solidFill>
          </w14:textFill>
        </w:rPr>
      </w:pPr>
      <w:bookmarkStart w:id="193" w:name="_Toc136173572"/>
      <w:bookmarkStart w:id="194" w:name="_Toc12192"/>
      <w:bookmarkStart w:id="195" w:name="_Toc144974514"/>
      <w:bookmarkStart w:id="196" w:name="_Toc179632564"/>
      <w:bookmarkStart w:id="197" w:name="_Toc246996191"/>
      <w:bookmarkStart w:id="198" w:name="_Toc247085705"/>
      <w:bookmarkStart w:id="199" w:name="_Toc152042322"/>
      <w:bookmarkStart w:id="200" w:name="_Toc246996934"/>
      <w:bookmarkStart w:id="201" w:name="_Toc152045546"/>
      <w:bookmarkStart w:id="202" w:name="_Toc296602436"/>
      <w:r>
        <w:rPr>
          <w:rFonts w:hint="eastAsia" w:ascii="宋体" w:hAnsi="宋体" w:eastAsia="宋体" w:cs="宋体"/>
          <w:b/>
          <w:bCs/>
          <w:color w:val="000000" w:themeColor="text1"/>
          <w:szCs w:val="24"/>
          <w14:textFill>
            <w14:solidFill>
              <w14:schemeClr w14:val="tx1"/>
            </w14:solidFill>
          </w14:textFill>
        </w:rPr>
        <w:t>2.1 招标文件的组成</w:t>
      </w:r>
      <w:bookmarkEnd w:id="193"/>
      <w:bookmarkEnd w:id="194"/>
    </w:p>
    <w:p w14:paraId="139EF05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w:t>
      </w:r>
      <w:r>
        <w:rPr>
          <w:rFonts w:hint="eastAsia" w:ascii="宋体" w:hAnsi="宋体" w:eastAsia="宋体" w:cs="宋体"/>
          <w:color w:val="000000" w:themeColor="text1"/>
          <w:szCs w:val="24"/>
          <w:lang w:val="zh-CN"/>
          <w14:textFill>
            <w14:solidFill>
              <w14:schemeClr w14:val="tx1"/>
            </w14:solidFill>
          </w14:textFill>
        </w:rPr>
        <w:t>招标文件</w:t>
      </w:r>
      <w:r>
        <w:rPr>
          <w:rFonts w:hint="eastAsia" w:ascii="宋体" w:hAnsi="宋体" w:eastAsia="宋体" w:cs="宋体"/>
          <w:color w:val="000000" w:themeColor="text1"/>
          <w:szCs w:val="24"/>
          <w14:textFill>
            <w14:solidFill>
              <w14:schemeClr w14:val="tx1"/>
            </w14:solidFill>
          </w14:textFill>
        </w:rPr>
        <w:t>包括下列内容：</w:t>
      </w:r>
    </w:p>
    <w:p w14:paraId="76A95B0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第一章   投标邀请函</w:t>
      </w:r>
    </w:p>
    <w:p w14:paraId="5FCAD88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第二章   投标须知</w:t>
      </w:r>
    </w:p>
    <w:p w14:paraId="3A68B82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第三章   评标办法</w:t>
      </w:r>
    </w:p>
    <w:p w14:paraId="733E87E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四</w:t>
      </w:r>
      <w:r>
        <w:rPr>
          <w:rFonts w:hint="eastAsia" w:ascii="宋体" w:hAnsi="宋体" w:eastAsia="宋体" w:cs="宋体"/>
          <w:color w:val="000000" w:themeColor="text1"/>
          <w:szCs w:val="24"/>
          <w:lang w:val="zh-CN"/>
          <w14:textFill>
            <w14:solidFill>
              <w14:schemeClr w14:val="tx1"/>
            </w14:solidFill>
          </w14:textFill>
        </w:rPr>
        <w:t>章   合同</w:t>
      </w:r>
      <w:r>
        <w:rPr>
          <w:rFonts w:hint="eastAsia" w:ascii="宋体" w:hAnsi="宋体" w:eastAsia="宋体" w:cs="宋体"/>
          <w:color w:val="000000" w:themeColor="text1"/>
          <w:szCs w:val="24"/>
          <w14:textFill>
            <w14:solidFill>
              <w14:schemeClr w14:val="tx1"/>
            </w14:solidFill>
          </w14:textFill>
        </w:rPr>
        <w:t>文本</w:t>
      </w:r>
    </w:p>
    <w:p w14:paraId="6112F035">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除</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条</w:t>
      </w:r>
      <w:r>
        <w:rPr>
          <w:rFonts w:hint="eastAsia" w:ascii="宋体" w:hAnsi="宋体" w:eastAsia="宋体" w:cs="宋体"/>
          <w:color w:val="000000" w:themeColor="text1"/>
          <w:szCs w:val="24"/>
          <w:lang w:val="zh-CN"/>
          <w14:textFill>
            <w14:solidFill>
              <w14:schemeClr w14:val="tx1"/>
            </w14:solidFill>
          </w14:textFill>
        </w:rPr>
        <w:t>内容外，招标人在提交投标文件截止时间前，以书面形式发出的对招标文件的澄清或修改内容，均为招标文件的组成部分，对招标人和投标人起约束作用。</w:t>
      </w:r>
    </w:p>
    <w:p w14:paraId="32C7E66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.2</w:t>
      </w:r>
      <w:r>
        <w:rPr>
          <w:rFonts w:hint="eastAsia" w:ascii="宋体" w:hAnsi="宋体" w:eastAsia="宋体" w:cs="宋体"/>
          <w:color w:val="000000" w:themeColor="text1"/>
          <w:szCs w:val="24"/>
          <w:lang w:val="zh-CN"/>
          <w14:textFill>
            <w14:solidFill>
              <w14:schemeClr w14:val="tx1"/>
            </w14:solidFill>
          </w14:textFill>
        </w:rPr>
        <w:t>投标人应认真阅读全面理解招标文件中所有的须知、条件、格式、条款、规范和图纸。如果投标人的投标文件不能符合招标文件的要求，责任由投标人自负。根据规定，实质上不符合招标文件要求的投标书将被视为废标。</w:t>
      </w:r>
    </w:p>
    <w:p w14:paraId="1B27ACD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投标人对招标文件个别内容有异议时，需在投标文件差异表中明确并声明。凡未在差异表中明确的，一律视为认同招标文件。招标文件是招、投标人双方签订合同的重要依据。</w:t>
      </w:r>
    </w:p>
    <w:p w14:paraId="48CE633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凡获得招标文件者，无论投标与否，均应对招标文件保密。</w:t>
      </w:r>
    </w:p>
    <w:p w14:paraId="2B1D093A">
      <w:pPr>
        <w:spacing w:line="360" w:lineRule="auto"/>
        <w:outlineLvl w:val="2"/>
        <w:rPr>
          <w:rFonts w:ascii="宋体" w:hAnsi="宋体" w:eastAsia="宋体" w:cs="宋体"/>
          <w:b/>
          <w:bCs/>
          <w:color w:val="000000" w:themeColor="text1"/>
          <w:szCs w:val="24"/>
          <w14:textFill>
            <w14:solidFill>
              <w14:schemeClr w14:val="tx1"/>
            </w14:solidFill>
          </w14:textFill>
        </w:rPr>
      </w:pPr>
      <w:bookmarkStart w:id="203" w:name="_Toc136173573"/>
      <w:bookmarkStart w:id="204" w:name="_Toc3012"/>
      <w:r>
        <w:rPr>
          <w:rFonts w:hint="eastAsia" w:ascii="宋体" w:hAnsi="宋体" w:eastAsia="宋体" w:cs="宋体"/>
          <w:b/>
          <w:bCs/>
          <w:color w:val="000000" w:themeColor="text1"/>
          <w:szCs w:val="24"/>
          <w14:textFill>
            <w14:solidFill>
              <w14:schemeClr w14:val="tx1"/>
            </w14:solidFill>
          </w14:textFill>
        </w:rPr>
        <w:t>2.2招标文件的解释与澄清</w:t>
      </w:r>
      <w:bookmarkEnd w:id="203"/>
      <w:bookmarkEnd w:id="204"/>
    </w:p>
    <w:p w14:paraId="578F7A0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2.2.1投标人在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招标文件后，若有问题需要澄清，应在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w:t>
      </w:r>
      <w:r>
        <w:rPr>
          <w:rFonts w:hint="eastAsia" w:ascii="宋体" w:hAnsi="宋体" w:eastAsia="宋体" w:cs="宋体"/>
          <w:color w:val="000000" w:themeColor="text1"/>
          <w:szCs w:val="24"/>
          <w14:textFill>
            <w14:solidFill>
              <w14:schemeClr w14:val="tx1"/>
            </w14:solidFill>
          </w14:textFill>
        </w:rPr>
        <w:t>2日内</w:t>
      </w:r>
      <w:r>
        <w:rPr>
          <w:rFonts w:hint="eastAsia" w:ascii="宋体" w:hAnsi="宋体" w:eastAsia="宋体" w:cs="宋体"/>
          <w:color w:val="000000" w:themeColor="text1"/>
          <w:szCs w:val="24"/>
          <w:lang w:val="zh-CN"/>
          <w14:textFill>
            <w14:solidFill>
              <w14:schemeClr w14:val="tx1"/>
            </w14:solidFill>
          </w14:textFill>
        </w:rPr>
        <w:t>以书面形式（包括书面文字、电邮等，下同）向招标人提出，并加盖公章。</w:t>
      </w:r>
    </w:p>
    <w:p w14:paraId="37F1C02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2.2.2招标人将在接到该请求澄清函</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日内，以书面形式向所有获得招标文件的投标人进行澄清（但不说明询问的来源）。答复将发给所有获得招标文件的投标人，投标人在收到答复后应在当天以书面形式予以确认。该澄清作为招标文件的组成部分，具有与招标文件相同作用。</w:t>
      </w:r>
    </w:p>
    <w:p w14:paraId="5C811975">
      <w:pPr>
        <w:spacing w:line="360" w:lineRule="auto"/>
        <w:outlineLvl w:val="2"/>
        <w:rPr>
          <w:rFonts w:ascii="宋体" w:hAnsi="宋体" w:eastAsia="宋体" w:cs="宋体"/>
          <w:b/>
          <w:bCs/>
          <w:color w:val="000000" w:themeColor="text1"/>
          <w:szCs w:val="24"/>
          <w14:textFill>
            <w14:solidFill>
              <w14:schemeClr w14:val="tx1"/>
            </w14:solidFill>
          </w14:textFill>
        </w:rPr>
      </w:pPr>
      <w:bookmarkStart w:id="205" w:name="_Toc3853"/>
      <w:bookmarkStart w:id="206" w:name="_Toc136173574"/>
      <w:r>
        <w:rPr>
          <w:rFonts w:hint="eastAsia" w:ascii="宋体" w:hAnsi="宋体" w:eastAsia="宋体" w:cs="宋体"/>
          <w:b/>
          <w:bCs/>
          <w:color w:val="000000" w:themeColor="text1"/>
          <w:szCs w:val="24"/>
          <w14:textFill>
            <w14:solidFill>
              <w14:schemeClr w14:val="tx1"/>
            </w14:solidFill>
          </w14:textFill>
        </w:rPr>
        <w:t>2.3招标文件的修改</w:t>
      </w:r>
      <w:bookmarkEnd w:id="205"/>
      <w:bookmarkEnd w:id="206"/>
    </w:p>
    <w:p w14:paraId="03F2FA3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至投标截止日前，招标人有权以补充通知的方式修改招标文件。这种修改可能是招标人主动提出的，也可能是为了解答投标人要求澄清的问题而作出的</w:t>
      </w:r>
      <w:r>
        <w:rPr>
          <w:rFonts w:hint="eastAsia" w:ascii="宋体" w:hAnsi="宋体" w:eastAsia="宋体" w:cs="宋体"/>
          <w:color w:val="000000" w:themeColor="text1"/>
          <w:szCs w:val="24"/>
          <w14:textFill>
            <w14:solidFill>
              <w14:schemeClr w14:val="tx1"/>
            </w14:solidFill>
          </w14:textFill>
        </w:rPr>
        <w:t>；</w:t>
      </w:r>
    </w:p>
    <w:p w14:paraId="5734F9F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通知将以书面形式发给所有获得招标文件的投标人。补充通知作为招标文件的组成部分，对投标人起约束作用。投标人收到补充通知书后</w:t>
      </w:r>
      <w:r>
        <w:rPr>
          <w:rFonts w:hint="eastAsia" w:ascii="宋体" w:hAnsi="宋体" w:eastAsia="宋体" w:cs="宋体"/>
          <w:color w:val="000000" w:themeColor="text1"/>
          <w:szCs w:val="24"/>
          <w14:textFill>
            <w14:solidFill>
              <w14:schemeClr w14:val="tx1"/>
            </w14:solidFill>
          </w14:textFill>
        </w:rPr>
        <w:t>24小时以内</w:t>
      </w:r>
      <w:r>
        <w:rPr>
          <w:rFonts w:hint="eastAsia" w:ascii="宋体" w:hAnsi="宋体" w:eastAsia="宋体" w:cs="宋体"/>
          <w:color w:val="000000" w:themeColor="text1"/>
          <w:szCs w:val="24"/>
          <w:lang w:val="zh-CN"/>
          <w14:textFill>
            <w14:solidFill>
              <w14:schemeClr w14:val="tx1"/>
            </w14:solidFill>
          </w14:textFill>
        </w:rPr>
        <w:t>书面递交或电子邮件形式通知招标人，确认已收到补充通知书</w:t>
      </w:r>
      <w:r>
        <w:rPr>
          <w:rFonts w:hint="eastAsia" w:ascii="宋体" w:hAnsi="宋体" w:eastAsia="宋体" w:cs="宋体"/>
          <w:color w:val="000000" w:themeColor="text1"/>
          <w:szCs w:val="24"/>
          <w14:textFill>
            <w14:solidFill>
              <w14:schemeClr w14:val="tx1"/>
            </w14:solidFill>
          </w14:textFill>
        </w:rPr>
        <w:t>；</w:t>
      </w:r>
    </w:p>
    <w:p w14:paraId="417F41B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2.3.3 </w:t>
      </w:r>
      <w:r>
        <w:rPr>
          <w:rFonts w:hint="eastAsia" w:ascii="宋体" w:hAnsi="宋体" w:eastAsia="宋体" w:cs="宋体"/>
          <w:color w:val="000000" w:themeColor="text1"/>
          <w:szCs w:val="24"/>
          <w:lang w:val="zh-CN"/>
          <w14:textFill>
            <w14:solidFill>
              <w14:schemeClr w14:val="tx1"/>
            </w14:solidFill>
          </w14:textFill>
        </w:rPr>
        <w:t>招标文件的澄清、修改、补充等内容均以书面形式明确的内容为准。当招标文件、招标文件的澄清、修改、补充等在同一内容的表述上不一致时，以最后发出的书面文件为准。</w:t>
      </w:r>
    </w:p>
    <w:p w14:paraId="179F8CA4">
      <w:pPr>
        <w:pStyle w:val="18"/>
        <w:spacing w:before="0" w:after="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2.3.4 为使投标人有充分时间对招标文件的修改部分进行研究，招标人可适当延长投标截止日期，并以书面形式通知所有购买标书的投标人。</w:t>
      </w:r>
    </w:p>
    <w:p w14:paraId="0F2AAE5E">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07" w:name="_Toc136173575"/>
      <w:bookmarkStart w:id="208" w:name="_Toc6980"/>
      <w:r>
        <w:rPr>
          <w:rFonts w:hint="eastAsia" w:ascii="宋体" w:hAnsi="宋体" w:cs="宋体"/>
          <w:color w:val="000000" w:themeColor="text1"/>
          <w:sz w:val="24"/>
          <w:szCs w:val="24"/>
          <w14:textFill>
            <w14:solidFill>
              <w14:schemeClr w14:val="tx1"/>
            </w14:solidFill>
          </w14:textFill>
        </w:rPr>
        <w:t>3. 投标文件</w:t>
      </w:r>
      <w:bookmarkEnd w:id="195"/>
      <w:bookmarkEnd w:id="196"/>
      <w:bookmarkEnd w:id="197"/>
      <w:bookmarkEnd w:id="198"/>
      <w:bookmarkEnd w:id="199"/>
      <w:bookmarkEnd w:id="200"/>
      <w:bookmarkEnd w:id="201"/>
      <w:bookmarkEnd w:id="202"/>
      <w:bookmarkEnd w:id="207"/>
      <w:bookmarkEnd w:id="208"/>
    </w:p>
    <w:p w14:paraId="4A44D482">
      <w:pPr>
        <w:pStyle w:val="4"/>
        <w:spacing w:before="0" w:after="0" w:line="360" w:lineRule="auto"/>
        <w:rPr>
          <w:rFonts w:ascii="宋体" w:hAnsi="宋体" w:eastAsia="宋体" w:cs="宋体"/>
          <w:bCs/>
          <w:color w:val="000000" w:themeColor="text1"/>
          <w:sz w:val="24"/>
          <w:szCs w:val="24"/>
          <w:lang w:val="zh-CN"/>
          <w14:textFill>
            <w14:solidFill>
              <w14:schemeClr w14:val="tx1"/>
            </w14:solidFill>
          </w14:textFill>
        </w:rPr>
      </w:pPr>
      <w:bookmarkStart w:id="209" w:name="_Toc23777"/>
      <w:bookmarkStart w:id="210" w:name="_Toc136173576"/>
      <w:r>
        <w:rPr>
          <w:rFonts w:hint="eastAsia" w:ascii="宋体" w:hAnsi="宋体" w:eastAsia="宋体" w:cs="宋体"/>
          <w:bCs/>
          <w:color w:val="000000" w:themeColor="text1"/>
          <w:sz w:val="24"/>
          <w:szCs w:val="24"/>
          <w14:textFill>
            <w14:solidFill>
              <w14:schemeClr w14:val="tx1"/>
            </w14:solidFill>
          </w14:textFill>
        </w:rPr>
        <w:t>3.1投标文件的编制要求</w:t>
      </w:r>
      <w:bookmarkEnd w:id="209"/>
      <w:bookmarkEnd w:id="210"/>
    </w:p>
    <w:p w14:paraId="70706762">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3.1.1 投标人应认真阅读招标文件（含有效的澄清、修改文件）的所有内容，按招标文件的要求提供投标文件，并保证提供的全部资料的真实性、合法性、有效性，以使其投标对招标文件作出实质性响应，否则，其投标将被拒绝。</w:t>
      </w:r>
    </w:p>
    <w:p w14:paraId="6A657E16">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1" w:name="_Toc136173577"/>
      <w:bookmarkStart w:id="212" w:name="_Toc11252"/>
      <w:r>
        <w:rPr>
          <w:rFonts w:hint="eastAsia" w:ascii="宋体" w:hAnsi="宋体" w:eastAsia="宋体" w:cs="宋体"/>
          <w:bCs/>
          <w:color w:val="000000" w:themeColor="text1"/>
          <w:sz w:val="24"/>
          <w:szCs w:val="24"/>
          <w14:textFill>
            <w14:solidFill>
              <w14:schemeClr w14:val="tx1"/>
            </w14:solidFill>
          </w14:textFill>
        </w:rPr>
        <w:t>3.2 投标文件的语言及度量衡单位</w:t>
      </w:r>
      <w:bookmarkEnd w:id="211"/>
      <w:bookmarkEnd w:id="212"/>
    </w:p>
    <w:p w14:paraId="269AF35D">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3.2.1 投标文件和与投标有关的所有文件均应使用中文。</w:t>
      </w:r>
    </w:p>
    <w:p w14:paraId="2A07F1B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3.2.2 除工程规范另有规定外，投标文件使用的度量衡单位，均采用中华人民共和国法定计量单位。</w:t>
      </w:r>
    </w:p>
    <w:p w14:paraId="61DCEB51">
      <w:pPr>
        <w:pStyle w:val="4"/>
        <w:spacing w:before="0" w:after="0" w:line="360" w:lineRule="auto"/>
        <w:rPr>
          <w:rFonts w:ascii="宋体" w:hAnsi="宋体" w:eastAsia="宋体" w:cs="宋体"/>
          <w:bCs/>
          <w:color w:val="000000" w:themeColor="text1"/>
          <w:sz w:val="24"/>
          <w:szCs w:val="24"/>
          <w:highlight w:val="none"/>
          <w14:textFill>
            <w14:solidFill>
              <w14:schemeClr w14:val="tx1"/>
            </w14:solidFill>
          </w14:textFill>
        </w:rPr>
      </w:pPr>
      <w:bookmarkStart w:id="213" w:name="_Toc136173578"/>
      <w:bookmarkStart w:id="214" w:name="_Toc28396"/>
      <w:r>
        <w:rPr>
          <w:rFonts w:hint="eastAsia" w:ascii="宋体" w:hAnsi="宋体" w:eastAsia="宋体" w:cs="宋体"/>
          <w:bCs/>
          <w:color w:val="000000" w:themeColor="text1"/>
          <w:sz w:val="24"/>
          <w:szCs w:val="24"/>
          <w:highlight w:val="none"/>
          <w14:textFill>
            <w14:solidFill>
              <w14:schemeClr w14:val="tx1"/>
            </w14:solidFill>
          </w14:textFill>
        </w:rPr>
        <w:t>3.3投标文件的组成</w:t>
      </w:r>
      <w:bookmarkEnd w:id="213"/>
      <w:bookmarkEnd w:id="214"/>
    </w:p>
    <w:p w14:paraId="107FA4D6">
      <w:pPr>
        <w:spacing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3.3.1 </w:t>
      </w:r>
      <w:r>
        <w:rPr>
          <w:rFonts w:hint="eastAsia" w:ascii="宋体" w:hAnsi="宋体" w:eastAsia="宋体" w:cs="宋体"/>
          <w:color w:val="000000" w:themeColor="text1"/>
          <w:szCs w:val="24"/>
          <w:highlight w:val="none"/>
          <w:lang w:val="zh-CN"/>
          <w14:textFill>
            <w14:solidFill>
              <w14:schemeClr w14:val="tx1"/>
            </w14:solidFill>
          </w14:textFill>
        </w:rPr>
        <w:t>投标文件包括：</w:t>
      </w:r>
      <w:r>
        <w:rPr>
          <w:rFonts w:hint="eastAsia" w:ascii="宋体" w:hAnsi="宋体" w:eastAsia="宋体" w:cs="宋体"/>
          <w:color w:val="000000" w:themeColor="text1"/>
          <w:szCs w:val="24"/>
          <w:highlight w:val="none"/>
          <w14:textFill>
            <w14:solidFill>
              <w14:schemeClr w14:val="tx1"/>
            </w14:solidFill>
          </w14:textFill>
        </w:rPr>
        <w:t>投标函及投标报价表、商务投标文件、技术投标文件（三部分投标文件单独密封）、电子版文档（加密发送）。</w:t>
      </w:r>
    </w:p>
    <w:p w14:paraId="3E56FC76">
      <w:pPr>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3.3.2投标函及投标报价表包括的内容见《第五章-投标函》。</w:t>
      </w:r>
    </w:p>
    <w:p w14:paraId="3AC6BBC8">
      <w:pPr>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3.3</w:t>
      </w:r>
      <w:r>
        <w:rPr>
          <w:rFonts w:hint="eastAsia" w:ascii="宋体" w:hAnsi="宋体" w:eastAsia="宋体" w:cs="宋体"/>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3 技术投标文件包括的内容见《第五章-技术投标文件》。</w:t>
      </w:r>
    </w:p>
    <w:p w14:paraId="08656E81">
      <w:pPr>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3.3</w:t>
      </w:r>
      <w:r>
        <w:rPr>
          <w:rFonts w:hint="eastAsia" w:ascii="宋体" w:hAnsi="宋体" w:eastAsia="宋体" w:cs="宋体"/>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 xml:space="preserve">4 </w:t>
      </w:r>
      <w:r>
        <w:rPr>
          <w:rFonts w:hint="eastAsia" w:ascii="宋体" w:hAnsi="宋体" w:eastAsia="宋体" w:cs="宋体"/>
          <w:color w:val="000000" w:themeColor="text1"/>
          <w:szCs w:val="24"/>
          <w:highlight w:val="none"/>
          <w:lang w:val="zh-CN"/>
          <w14:textFill>
            <w14:solidFill>
              <w14:schemeClr w14:val="tx1"/>
            </w14:solidFill>
          </w14:textFill>
        </w:rPr>
        <w:t>商务投标文件</w:t>
      </w:r>
      <w:r>
        <w:rPr>
          <w:rFonts w:hint="eastAsia" w:ascii="宋体" w:hAnsi="宋体" w:eastAsia="宋体" w:cs="宋体"/>
          <w:color w:val="000000" w:themeColor="text1"/>
          <w:szCs w:val="24"/>
          <w:highlight w:val="none"/>
          <w14:textFill>
            <w14:solidFill>
              <w14:schemeClr w14:val="tx1"/>
            </w14:solidFill>
          </w14:textFill>
        </w:rPr>
        <w:t>包括</w:t>
      </w:r>
      <w:r>
        <w:rPr>
          <w:rFonts w:hint="eastAsia" w:ascii="宋体" w:hAnsi="宋体" w:eastAsia="宋体" w:cs="宋体"/>
          <w:color w:val="000000" w:themeColor="text1"/>
          <w:szCs w:val="24"/>
          <w:highlight w:val="none"/>
          <w:lang w:val="zh-CN"/>
          <w14:textFill>
            <w14:solidFill>
              <w14:schemeClr w14:val="tx1"/>
            </w14:solidFill>
          </w14:textFill>
        </w:rPr>
        <w:t>的内容</w:t>
      </w:r>
      <w:r>
        <w:rPr>
          <w:rFonts w:hint="eastAsia" w:ascii="宋体" w:hAnsi="宋体" w:eastAsia="宋体" w:cs="宋体"/>
          <w:color w:val="000000" w:themeColor="text1"/>
          <w:szCs w:val="24"/>
          <w:highlight w:val="none"/>
          <w14:textFill>
            <w14:solidFill>
              <w14:schemeClr w14:val="tx1"/>
            </w14:solidFill>
          </w14:textFill>
        </w:rPr>
        <w:t>见《第五章-商务资格投标文件》。</w:t>
      </w:r>
    </w:p>
    <w:p w14:paraId="3FA4D8C1">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5" w:name="_Toc136173579"/>
      <w:bookmarkStart w:id="216" w:name="_Toc4510"/>
      <w:r>
        <w:rPr>
          <w:rFonts w:hint="eastAsia" w:ascii="宋体" w:hAnsi="宋体" w:eastAsia="宋体" w:cs="宋体"/>
          <w:bCs/>
          <w:color w:val="000000" w:themeColor="text1"/>
          <w:sz w:val="24"/>
          <w:szCs w:val="24"/>
          <w14:textFill>
            <w14:solidFill>
              <w14:schemeClr w14:val="tx1"/>
            </w14:solidFill>
          </w14:textFill>
        </w:rPr>
        <w:t>3.4 投标文件格式</w:t>
      </w:r>
      <w:bookmarkEnd w:id="215"/>
      <w:bookmarkEnd w:id="216"/>
    </w:p>
    <w:p w14:paraId="3C8CB980">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投标人必须使用</w:t>
      </w:r>
      <w:r>
        <w:rPr>
          <w:rFonts w:hint="eastAsia" w:ascii="宋体" w:hAnsi="宋体" w:eastAsia="宋体" w:cs="宋体"/>
          <w:color w:val="000000" w:themeColor="text1"/>
          <w:szCs w:val="24"/>
          <w14:textFill>
            <w14:solidFill>
              <w14:schemeClr w14:val="tx1"/>
            </w14:solidFill>
          </w14:textFill>
        </w:rPr>
        <w:t>本</w:t>
      </w:r>
      <w:r>
        <w:rPr>
          <w:rFonts w:hint="eastAsia" w:ascii="宋体" w:hAnsi="宋体" w:eastAsia="宋体" w:cs="宋体"/>
          <w:color w:val="000000" w:themeColor="text1"/>
          <w:szCs w:val="24"/>
          <w:lang w:val="zh-CN"/>
          <w14:textFill>
            <w14:solidFill>
              <w14:schemeClr w14:val="tx1"/>
            </w14:solidFill>
          </w14:textFill>
        </w:rPr>
        <w:t>招标文件提供的投标书格式，但表格可以按同样格式扩展。</w:t>
      </w:r>
    </w:p>
    <w:p w14:paraId="0264AC57">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7" w:name="_Toc136173580"/>
      <w:bookmarkStart w:id="218" w:name="_Toc12835"/>
      <w:r>
        <w:rPr>
          <w:rFonts w:hint="eastAsia" w:ascii="宋体" w:hAnsi="宋体" w:eastAsia="宋体" w:cs="宋体"/>
          <w:bCs/>
          <w:color w:val="000000" w:themeColor="text1"/>
          <w:sz w:val="24"/>
          <w:szCs w:val="24"/>
          <w14:textFill>
            <w14:solidFill>
              <w14:schemeClr w14:val="tx1"/>
            </w14:solidFill>
          </w14:textFill>
        </w:rPr>
        <w:t>3.5.投标货币</w:t>
      </w:r>
      <w:bookmarkEnd w:id="217"/>
      <w:bookmarkEnd w:id="218"/>
    </w:p>
    <w:p w14:paraId="3D744AD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3.5.1 本工程投标报价采用的币种为人民币。</w:t>
      </w:r>
    </w:p>
    <w:p w14:paraId="03D7462C">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9" w:name="_Toc5233"/>
      <w:bookmarkStart w:id="220" w:name="_Toc136173581"/>
      <w:r>
        <w:rPr>
          <w:rFonts w:hint="eastAsia" w:ascii="宋体" w:hAnsi="宋体" w:eastAsia="宋体" w:cs="宋体"/>
          <w:bCs/>
          <w:color w:val="000000" w:themeColor="text1"/>
          <w:sz w:val="24"/>
          <w:szCs w:val="24"/>
          <w14:textFill>
            <w14:solidFill>
              <w14:schemeClr w14:val="tx1"/>
            </w14:solidFill>
          </w14:textFill>
        </w:rPr>
        <w:t>3.6.投标有效期</w:t>
      </w:r>
      <w:bookmarkEnd w:id="219"/>
      <w:bookmarkEnd w:id="220"/>
    </w:p>
    <w:p w14:paraId="721CD5C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自</w:t>
      </w:r>
      <w:r>
        <w:rPr>
          <w:rFonts w:hint="eastAsia" w:ascii="宋体" w:hAnsi="宋体" w:eastAsia="宋体" w:cs="宋体"/>
          <w:color w:val="000000" w:themeColor="text1"/>
          <w:szCs w:val="24"/>
          <w14:textFill>
            <w14:solidFill>
              <w14:schemeClr w14:val="tx1"/>
            </w14:solidFill>
          </w14:textFill>
        </w:rPr>
        <w:t>本招标文件</w:t>
      </w:r>
      <w:r>
        <w:rPr>
          <w:rFonts w:hint="eastAsia" w:ascii="宋体" w:hAnsi="宋体" w:eastAsia="宋体" w:cs="宋体"/>
          <w:color w:val="000000" w:themeColor="text1"/>
          <w:szCs w:val="24"/>
          <w:lang w:val="zh-CN"/>
          <w14:textFill>
            <w14:solidFill>
              <w14:schemeClr w14:val="tx1"/>
            </w14:solidFill>
          </w14:textFill>
        </w:rPr>
        <w:t>规定的投标截止日期算起，投标书有效期为 120 公历日。</w:t>
      </w:r>
    </w:p>
    <w:p w14:paraId="69265D3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在原定投标有效期满之前，如果出现特殊情况，招标人可以以书面形式向投标人提出延长投标有效期的要求。投标人须以书面形式予以答复，投标人可以拒绝这种要求。同意延长投标有效期的投标人也不允许修改他的投标文件。</w:t>
      </w:r>
    </w:p>
    <w:p w14:paraId="3D52393D">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3.7.投标保证金</w:t>
      </w:r>
    </w:p>
    <w:p w14:paraId="1FC729C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投标保证金：无。</w:t>
      </w:r>
    </w:p>
    <w:p w14:paraId="114D20CF">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3.8投标人的替代方案：</w:t>
      </w:r>
      <w:r>
        <w:rPr>
          <w:rFonts w:hint="eastAsia" w:ascii="宋体" w:hAnsi="宋体" w:eastAsia="宋体" w:cs="宋体"/>
          <w:color w:val="000000" w:themeColor="text1"/>
          <w:szCs w:val="24"/>
          <w:lang w:val="zh-CN"/>
          <w14:textFill>
            <w14:solidFill>
              <w14:schemeClr w14:val="tx1"/>
            </w14:solidFill>
          </w14:textFill>
        </w:rPr>
        <w:t>不允许投标人提交替代方案。</w:t>
      </w:r>
    </w:p>
    <w:p w14:paraId="0AEA1083">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3.9.投标文件的编制和签署</w:t>
      </w:r>
    </w:p>
    <w:p w14:paraId="1F79578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投标人按</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规定，编制投标文件“正本”和“副本”及“电子</w:t>
      </w:r>
      <w:r>
        <w:rPr>
          <w:rFonts w:hint="eastAsia" w:ascii="宋体" w:hAnsi="宋体" w:eastAsia="宋体" w:cs="宋体"/>
          <w:color w:val="000000" w:themeColor="text1"/>
          <w:szCs w:val="24"/>
          <w14:textFill>
            <w14:solidFill>
              <w14:schemeClr w14:val="tx1"/>
            </w14:solidFill>
          </w14:textFill>
        </w:rPr>
        <w:t>文档”</w:t>
      </w:r>
      <w:r>
        <w:rPr>
          <w:rFonts w:hint="eastAsia" w:ascii="宋体" w:hAnsi="宋体" w:eastAsia="宋体" w:cs="宋体"/>
          <w:color w:val="000000" w:themeColor="text1"/>
          <w:szCs w:val="24"/>
          <w:lang w:val="zh-CN"/>
          <w14:textFill>
            <w14:solidFill>
              <w14:schemeClr w14:val="tx1"/>
            </w14:solidFill>
          </w14:textFill>
        </w:rPr>
        <w:t>，并在封面上明确标明“正本”和“副本”字样。投标文件正本和副本如有不一致之处，以正本为准。</w:t>
      </w:r>
      <w:r>
        <w:rPr>
          <w:rFonts w:hint="eastAsia" w:ascii="宋体" w:hAnsi="宋体" w:eastAsia="宋体" w:cs="宋体"/>
          <w:color w:val="000000" w:themeColor="text1"/>
          <w:szCs w:val="24"/>
          <w14:textFill>
            <w14:solidFill>
              <w14:schemeClr w14:val="tx1"/>
            </w14:solidFill>
          </w14:textFill>
        </w:rPr>
        <w:t>电子文档与纸质文本不一致时，以纸质文本为准。</w:t>
      </w:r>
    </w:p>
    <w:p w14:paraId="358783C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投标文件的正本和副本均应使用不能擦去的墨水打印或书写，封面加盖法人单位公章，并由法定代表人或被授权委托人签署授权书</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以书面委托的方式出具，附在投标书中。正本每页应由法定代表人或被授权委托人小签，副本可以是正本的复印件。</w:t>
      </w:r>
    </w:p>
    <w:p w14:paraId="2D2FEC1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全套投标文件应无涂改和行间插字，除非这些删改是根据招标人的指示进行的，或者是投标人造成的必须修改的错误。在后一种情况下，修改处应由投标文件签署人小签。</w:t>
      </w:r>
    </w:p>
    <w:p w14:paraId="6EE0E2C7">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投标文件的投标函部分</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商务部分</w:t>
      </w:r>
      <w:r>
        <w:rPr>
          <w:rFonts w:hint="eastAsia" w:ascii="宋体" w:hAnsi="宋体" w:eastAsia="宋体" w:cs="宋体"/>
          <w:color w:val="000000" w:themeColor="text1"/>
          <w:szCs w:val="24"/>
          <w14:textFill>
            <w14:solidFill>
              <w14:schemeClr w14:val="tx1"/>
            </w14:solidFill>
          </w14:textFill>
        </w:rPr>
        <w:t>、技术部分别</w:t>
      </w:r>
      <w:r>
        <w:rPr>
          <w:rFonts w:hint="eastAsia" w:ascii="宋体" w:hAnsi="宋体" w:eastAsia="宋体" w:cs="宋体"/>
          <w:color w:val="000000" w:themeColor="text1"/>
          <w:szCs w:val="24"/>
          <w:lang w:val="zh-CN"/>
          <w14:textFill>
            <w14:solidFill>
              <w14:schemeClr w14:val="tx1"/>
            </w14:solidFill>
          </w14:textFill>
        </w:rPr>
        <w:t>装订成册。</w:t>
      </w:r>
      <w:bookmarkStart w:id="221" w:name="_Toc9457671"/>
      <w:bookmarkStart w:id="222" w:name="_Toc277669821"/>
      <w:bookmarkStart w:id="223" w:name="_Toc78948804"/>
      <w:bookmarkStart w:id="224" w:name="_Toc9457673"/>
      <w:bookmarkStart w:id="225" w:name="_Toc78948806"/>
    </w:p>
    <w:p w14:paraId="6187482E">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3.9.5 投标份数：纸质版正本1份、副本1份。</w:t>
      </w:r>
    </w:p>
    <w:bookmarkEnd w:id="221"/>
    <w:bookmarkEnd w:id="222"/>
    <w:bookmarkEnd w:id="223"/>
    <w:p w14:paraId="0869516A">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26" w:name="_Toc18656"/>
      <w:bookmarkStart w:id="227" w:name="_Toc136173582"/>
      <w:r>
        <w:rPr>
          <w:rFonts w:hint="eastAsia" w:ascii="宋体" w:hAnsi="宋体" w:cs="宋体"/>
          <w:color w:val="000000" w:themeColor="text1"/>
          <w:sz w:val="24"/>
          <w:szCs w:val="24"/>
          <w14:textFill>
            <w14:solidFill>
              <w14:schemeClr w14:val="tx1"/>
            </w14:solidFill>
          </w14:textFill>
        </w:rPr>
        <w:t>4.投标文件的提交</w:t>
      </w:r>
      <w:bookmarkEnd w:id="226"/>
      <w:bookmarkEnd w:id="227"/>
    </w:p>
    <w:p w14:paraId="084FD225">
      <w:pPr>
        <w:spacing w:line="360" w:lineRule="auto"/>
        <w:outlineLvl w:val="2"/>
        <w:rPr>
          <w:rFonts w:ascii="宋体" w:hAnsi="宋体" w:eastAsia="宋体" w:cs="宋体"/>
          <w:b/>
          <w:bCs/>
          <w:color w:val="000000" w:themeColor="text1"/>
          <w:szCs w:val="24"/>
          <w:lang w:val="zh-CN"/>
          <w14:textFill>
            <w14:solidFill>
              <w14:schemeClr w14:val="tx1"/>
            </w14:solidFill>
          </w14:textFill>
        </w:rPr>
      </w:pPr>
      <w:bookmarkStart w:id="228" w:name="_Toc136173583"/>
      <w:bookmarkStart w:id="229" w:name="_Toc25784"/>
      <w:r>
        <w:rPr>
          <w:rFonts w:hint="eastAsia" w:ascii="宋体" w:hAnsi="宋体" w:eastAsia="宋体" w:cs="宋体"/>
          <w:b/>
          <w:bCs/>
          <w:color w:val="000000" w:themeColor="text1"/>
          <w:szCs w:val="24"/>
          <w14:textFill>
            <w14:solidFill>
              <w14:schemeClr w14:val="tx1"/>
            </w14:solidFill>
          </w14:textFill>
        </w:rPr>
        <w:t>4.1投标文件的密封和标记</w:t>
      </w:r>
      <w:bookmarkEnd w:id="228"/>
      <w:bookmarkEnd w:id="229"/>
    </w:p>
    <w:p w14:paraId="366C04F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.1.1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投标人应将《投标函》、《技术投标文件》、《商务投标文件》分</w:t>
      </w:r>
      <w:r>
        <w:rPr>
          <w:rFonts w:hint="eastAsia" w:ascii="宋体" w:hAnsi="宋体" w:eastAsia="宋体" w:cs="宋体"/>
          <w:color w:val="000000" w:themeColor="text1"/>
          <w:szCs w:val="24"/>
          <w14:textFill>
            <w14:solidFill>
              <w14:schemeClr w14:val="tx1"/>
            </w14:solidFill>
          </w14:textFill>
        </w:rPr>
        <w:t>别</w:t>
      </w:r>
      <w:r>
        <w:rPr>
          <w:rFonts w:hint="eastAsia" w:ascii="宋体" w:hAnsi="宋体" w:eastAsia="宋体" w:cs="宋体"/>
          <w:color w:val="000000" w:themeColor="text1"/>
          <w:szCs w:val="24"/>
          <w:lang w:val="zh-CN"/>
          <w14:textFill>
            <w14:solidFill>
              <w14:schemeClr w14:val="tx1"/>
            </w14:solidFill>
          </w14:textFill>
        </w:rPr>
        <w:t>密封</w:t>
      </w:r>
      <w:r>
        <w:rPr>
          <w:rFonts w:hint="eastAsia" w:ascii="宋体" w:hAnsi="宋体" w:eastAsia="宋体" w:cs="宋体"/>
          <w:color w:val="000000" w:themeColor="text1"/>
          <w:szCs w:val="24"/>
          <w14:textFill>
            <w14:solidFill>
              <w14:schemeClr w14:val="tx1"/>
            </w14:solidFill>
          </w14:textFill>
        </w:rPr>
        <w:t>在三个密封袋内，</w:t>
      </w:r>
      <w:r>
        <w:rPr>
          <w:rFonts w:hint="eastAsia" w:ascii="宋体" w:hAnsi="宋体" w:eastAsia="宋体" w:cs="宋体"/>
          <w:color w:val="000000" w:themeColor="text1"/>
          <w:szCs w:val="24"/>
          <w:lang w:val="zh-CN"/>
          <w14:textFill>
            <w14:solidFill>
              <w14:schemeClr w14:val="tx1"/>
            </w14:solidFill>
          </w14:textFill>
        </w:rPr>
        <w:t>电子投标文件</w:t>
      </w:r>
      <w:r>
        <w:rPr>
          <w:rFonts w:hint="eastAsia" w:ascii="宋体" w:hAnsi="宋体" w:eastAsia="宋体" w:cs="宋体"/>
          <w:color w:val="000000" w:themeColor="text1"/>
          <w:szCs w:val="24"/>
          <w14:textFill>
            <w14:solidFill>
              <w14:schemeClr w14:val="tx1"/>
            </w14:solidFill>
          </w14:textFill>
        </w:rPr>
        <w:t>（U盘拷贝，非电子投标需要）随</w:t>
      </w:r>
      <w:r>
        <w:rPr>
          <w:rFonts w:hint="eastAsia" w:ascii="宋体" w:hAnsi="宋体" w:eastAsia="宋体" w:cs="宋体"/>
          <w:color w:val="000000" w:themeColor="text1"/>
          <w:szCs w:val="24"/>
          <w:lang w:val="zh-CN"/>
          <w14:textFill>
            <w14:solidFill>
              <w14:schemeClr w14:val="tx1"/>
            </w14:solidFill>
          </w14:textFill>
        </w:rPr>
        <w:t>《投标函》</w:t>
      </w:r>
      <w:r>
        <w:rPr>
          <w:rFonts w:hint="eastAsia" w:ascii="宋体" w:hAnsi="宋体" w:eastAsia="宋体" w:cs="宋体"/>
          <w:color w:val="000000" w:themeColor="text1"/>
          <w:szCs w:val="24"/>
          <w14:textFill>
            <w14:solidFill>
              <w14:schemeClr w14:val="tx1"/>
            </w14:solidFill>
          </w14:textFill>
        </w:rPr>
        <w:t>一同密封，并在包封右上角正确标明“正本”或“副本”字样</w:t>
      </w:r>
      <w:r>
        <w:rPr>
          <w:rFonts w:hint="eastAsia" w:ascii="宋体" w:hAnsi="宋体" w:eastAsia="宋体" w:cs="宋体"/>
          <w:color w:val="000000" w:themeColor="text1"/>
          <w:szCs w:val="24"/>
          <w:lang w:val="zh-CN"/>
          <w14:textFill>
            <w14:solidFill>
              <w14:schemeClr w14:val="tx1"/>
            </w14:solidFill>
          </w14:textFill>
        </w:rPr>
        <w:t>。</w:t>
      </w:r>
    </w:p>
    <w:p w14:paraId="166A570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4.1.2 密封袋封面应写明投标单位名称和地址、文件名称、招标编号、并注明</w:t>
      </w:r>
    </w:p>
    <w:p w14:paraId="7226D12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    年  月  日  时（开标时间）</w:t>
      </w:r>
      <w:r>
        <w:rPr>
          <w:rFonts w:hint="eastAsia" w:ascii="宋体" w:hAnsi="宋体" w:eastAsia="宋体" w:cs="宋体"/>
          <w:b/>
          <w:bCs/>
          <w:color w:val="000000" w:themeColor="text1"/>
          <w:szCs w:val="24"/>
          <w:lang w:val="zh-CN"/>
          <w14:textFill>
            <w14:solidFill>
              <w14:schemeClr w14:val="tx1"/>
            </w14:solidFill>
          </w14:textFill>
        </w:rPr>
        <w:t>前不得</w:t>
      </w:r>
      <w:r>
        <w:rPr>
          <w:rFonts w:hint="eastAsia" w:ascii="宋体" w:hAnsi="宋体" w:eastAsia="宋体" w:cs="宋体"/>
          <w:b/>
          <w:bCs/>
          <w:color w:val="000000" w:themeColor="text1"/>
          <w:szCs w:val="24"/>
          <w14:textFill>
            <w14:solidFill>
              <w14:schemeClr w14:val="tx1"/>
            </w14:solidFill>
          </w14:textFill>
        </w:rPr>
        <w:t>启封</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。密封包加盖骑缝印章，骑缝印章包括法人单位公章和法定代表人印章。</w:t>
      </w:r>
    </w:p>
    <w:p w14:paraId="44160C91">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文件名称：</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*********************投标文件</w:t>
      </w:r>
      <w:r>
        <w:rPr>
          <w:rFonts w:hint="eastAsia" w:ascii="宋体" w:hAnsi="宋体" w:eastAsia="宋体" w:cs="宋体"/>
          <w:b/>
          <w:bCs/>
          <w:color w:val="000000" w:themeColor="text1"/>
          <w:szCs w:val="24"/>
          <w:lang w:val="zh-CN"/>
          <w14:textFill>
            <w14:solidFill>
              <w14:schemeClr w14:val="tx1"/>
            </w14:solidFill>
          </w14:textFill>
        </w:rPr>
        <w:t>”</w:t>
      </w:r>
    </w:p>
    <w:p w14:paraId="4CA1B42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b/>
          <w:bCs/>
          <w:color w:val="000000" w:themeColor="text1"/>
          <w:szCs w:val="24"/>
          <w14:textFill>
            <w14:solidFill>
              <w14:schemeClr w14:val="tx1"/>
            </w14:solidFill>
          </w14:textFill>
        </w:rPr>
        <w:t>“***********************”</w:t>
      </w:r>
    </w:p>
    <w:p w14:paraId="27B2A399">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0" w:name="_Toc17458"/>
      <w:bookmarkStart w:id="231" w:name="_Toc136173584"/>
      <w:r>
        <w:rPr>
          <w:rFonts w:hint="eastAsia" w:ascii="宋体" w:hAnsi="宋体" w:eastAsia="宋体" w:cs="宋体"/>
          <w:b/>
          <w:bCs/>
          <w:color w:val="000000" w:themeColor="text1"/>
          <w:szCs w:val="24"/>
          <w14:textFill>
            <w14:solidFill>
              <w14:schemeClr w14:val="tx1"/>
            </w14:solidFill>
          </w14:textFill>
        </w:rPr>
        <w:t>4.2 投标文件的提交</w:t>
      </w:r>
      <w:bookmarkEnd w:id="230"/>
      <w:bookmarkEnd w:id="231"/>
    </w:p>
    <w:p w14:paraId="085E30A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4.2.1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按本须知规定的</w:t>
      </w:r>
      <w:r>
        <w:rPr>
          <w:rFonts w:hint="eastAsia" w:ascii="宋体" w:hAnsi="宋体" w:eastAsia="宋体" w:cs="宋体"/>
          <w:color w:val="000000" w:themeColor="text1"/>
          <w:szCs w:val="24"/>
          <w:lang w:val="zh-CN"/>
          <w14:textFill>
            <w14:solidFill>
              <w14:schemeClr w14:val="tx1"/>
            </w14:solidFill>
          </w14:textFill>
        </w:rPr>
        <w:t>地点</w:t>
      </w:r>
      <w:r>
        <w:rPr>
          <w:rFonts w:hint="eastAsia" w:ascii="宋体" w:hAnsi="宋体" w:eastAsia="宋体" w:cs="宋体"/>
          <w:color w:val="000000" w:themeColor="text1"/>
          <w:szCs w:val="24"/>
          <w14:textFill>
            <w14:solidFill>
              <w14:schemeClr w14:val="tx1"/>
            </w14:solidFill>
          </w14:textFill>
        </w:rPr>
        <w:t>，于投标截止时间前采用邮寄或现场送达方式提交投标文件</w:t>
      </w:r>
      <w:r>
        <w:rPr>
          <w:rFonts w:hint="eastAsia" w:ascii="宋体" w:hAnsi="宋体" w:eastAsia="宋体" w:cs="宋体"/>
          <w:color w:val="000000" w:themeColor="text1"/>
          <w:szCs w:val="24"/>
          <w:lang w:val="zh-CN"/>
          <w14:textFill>
            <w14:solidFill>
              <w14:schemeClr w14:val="tx1"/>
            </w14:solidFill>
          </w14:textFill>
        </w:rPr>
        <w:t>。</w:t>
      </w:r>
    </w:p>
    <w:p w14:paraId="6F864453">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4.2.2 投标文件提交</w:t>
      </w:r>
      <w:r>
        <w:rPr>
          <w:rFonts w:hint="eastAsia" w:ascii="宋体" w:hAnsi="宋体" w:eastAsia="宋体" w:cs="宋体"/>
          <w:color w:val="000000" w:themeColor="text1"/>
          <w:szCs w:val="24"/>
          <w:lang w:val="zh-CN"/>
          <w14:textFill>
            <w14:solidFill>
              <w14:schemeClr w14:val="tx1"/>
            </w14:solidFill>
          </w14:textFill>
        </w:rPr>
        <w:t>地址：见投标人须知前附表。</w:t>
      </w:r>
    </w:p>
    <w:p w14:paraId="00C8D796">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2" w:name="_Toc136173585"/>
      <w:bookmarkStart w:id="233" w:name="_Toc12658"/>
      <w:r>
        <w:rPr>
          <w:rFonts w:hint="eastAsia" w:ascii="宋体" w:hAnsi="宋体" w:eastAsia="宋体" w:cs="宋体"/>
          <w:b/>
          <w:bCs/>
          <w:color w:val="000000" w:themeColor="text1"/>
          <w:szCs w:val="24"/>
          <w14:textFill>
            <w14:solidFill>
              <w14:schemeClr w14:val="tx1"/>
            </w14:solidFill>
          </w14:textFill>
        </w:rPr>
        <w:t>4.3投标文件提交的截止时间</w:t>
      </w:r>
      <w:bookmarkEnd w:id="232"/>
      <w:bookmarkEnd w:id="233"/>
    </w:p>
    <w:p w14:paraId="4FC7E5E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w:t>
      </w:r>
      <w:r>
        <w:rPr>
          <w:rFonts w:hint="eastAsia" w:ascii="宋体" w:hAnsi="宋体" w:eastAsia="宋体" w:cs="宋体"/>
          <w:color w:val="000000" w:themeColor="text1"/>
          <w:szCs w:val="24"/>
          <w14:textFill>
            <w14:solidFill>
              <w14:schemeClr w14:val="tx1"/>
            </w14:solidFill>
          </w14:textFill>
        </w:rPr>
        <w:t>文件提交的</w:t>
      </w:r>
      <w:r>
        <w:rPr>
          <w:rFonts w:hint="eastAsia" w:ascii="宋体" w:hAnsi="宋体" w:eastAsia="宋体" w:cs="宋体"/>
          <w:color w:val="000000" w:themeColor="text1"/>
          <w:szCs w:val="24"/>
          <w:lang w:val="zh-CN"/>
          <w14:textFill>
            <w14:solidFill>
              <w14:schemeClr w14:val="tx1"/>
            </w14:solidFill>
          </w14:textFill>
        </w:rPr>
        <w:t>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：见投标人须知前附表。</w:t>
      </w:r>
    </w:p>
    <w:p w14:paraId="1D347D6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在</w:t>
      </w:r>
      <w:r>
        <w:rPr>
          <w:rFonts w:hint="eastAsia" w:ascii="宋体" w:hAnsi="宋体" w:eastAsia="宋体" w:cs="宋体"/>
          <w:color w:val="000000" w:themeColor="text1"/>
          <w:szCs w:val="24"/>
          <w:lang w:val="zh-CN"/>
          <w14:textFill>
            <w14:solidFill>
              <w14:schemeClr w14:val="tx1"/>
            </w14:solidFill>
          </w14:textFill>
        </w:rPr>
        <w:t>规定的日期和时间之前</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将投标文件递交</w:t>
      </w:r>
      <w:r>
        <w:rPr>
          <w:rFonts w:hint="eastAsia" w:ascii="宋体" w:hAnsi="宋体" w:eastAsia="宋体" w:cs="宋体"/>
          <w:color w:val="000000" w:themeColor="text1"/>
          <w:szCs w:val="24"/>
          <w14:textFill>
            <w14:solidFill>
              <w14:schemeClr w14:val="tx1"/>
            </w14:solidFill>
          </w14:textFill>
        </w:rPr>
        <w:t>到</w:t>
      </w:r>
      <w:r>
        <w:rPr>
          <w:rFonts w:hint="eastAsia" w:ascii="宋体" w:hAnsi="宋体" w:eastAsia="宋体" w:cs="宋体"/>
          <w:color w:val="000000" w:themeColor="text1"/>
          <w:szCs w:val="24"/>
          <w:lang w:val="zh-CN"/>
          <w14:textFill>
            <w14:solidFill>
              <w14:schemeClr w14:val="tx1"/>
            </w14:solidFill>
          </w14:textFill>
        </w:rPr>
        <w:t>招标人</w:t>
      </w:r>
      <w:r>
        <w:rPr>
          <w:rFonts w:hint="eastAsia" w:ascii="宋体" w:hAnsi="宋体" w:eastAsia="宋体" w:cs="宋体"/>
          <w:color w:val="000000" w:themeColor="text1"/>
          <w:szCs w:val="24"/>
          <w14:textFill>
            <w14:solidFill>
              <w14:schemeClr w14:val="tx1"/>
            </w14:solidFill>
          </w14:textFill>
        </w:rPr>
        <w:t>指定地点</w:t>
      </w:r>
      <w:r>
        <w:rPr>
          <w:rFonts w:hint="eastAsia" w:ascii="宋体" w:hAnsi="宋体" w:eastAsia="宋体" w:cs="宋体"/>
          <w:color w:val="000000" w:themeColor="text1"/>
          <w:szCs w:val="24"/>
          <w:lang w:val="zh-CN"/>
          <w14:textFill>
            <w14:solidFill>
              <w14:schemeClr w14:val="tx1"/>
            </w14:solidFill>
          </w14:textFill>
        </w:rPr>
        <w:t>。</w:t>
      </w:r>
    </w:p>
    <w:p w14:paraId="2B685BD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如果招标人的补充通知书在离投标截止日期</w:t>
      </w:r>
      <w:r>
        <w:rPr>
          <w:rFonts w:hint="eastAsia" w:ascii="宋体" w:hAnsi="宋体" w:eastAsia="宋体" w:cs="宋体"/>
          <w:color w:val="000000" w:themeColor="text1"/>
          <w:szCs w:val="24"/>
          <w14:textFill>
            <w14:solidFill>
              <w14:schemeClr w14:val="tx1"/>
            </w14:solidFill>
          </w14:textFill>
        </w:rPr>
        <w:t>7日</w:t>
      </w:r>
      <w:r>
        <w:rPr>
          <w:rFonts w:hint="eastAsia" w:ascii="宋体" w:hAnsi="宋体" w:eastAsia="宋体" w:cs="宋体"/>
          <w:color w:val="000000" w:themeColor="text1"/>
          <w:szCs w:val="24"/>
          <w:lang w:val="zh-CN"/>
          <w14:textFill>
            <w14:solidFill>
              <w14:schemeClr w14:val="tx1"/>
            </w14:solidFill>
          </w14:textFill>
        </w:rPr>
        <w:t>内提出，则投标截止期</w:t>
      </w:r>
      <w:r>
        <w:rPr>
          <w:rFonts w:hint="eastAsia" w:ascii="宋体" w:hAnsi="宋体" w:eastAsia="宋体" w:cs="宋体"/>
          <w:color w:val="000000" w:themeColor="text1"/>
          <w:szCs w:val="24"/>
          <w14:textFill>
            <w14:solidFill>
              <w14:schemeClr w14:val="tx1"/>
            </w14:solidFill>
          </w14:textFill>
        </w:rPr>
        <w:t>相应</w:t>
      </w:r>
      <w:r>
        <w:rPr>
          <w:rFonts w:hint="eastAsia" w:ascii="宋体" w:hAnsi="宋体" w:eastAsia="宋体" w:cs="宋体"/>
          <w:color w:val="000000" w:themeColor="text1"/>
          <w:szCs w:val="24"/>
          <w:lang w:val="zh-CN"/>
          <w14:textFill>
            <w14:solidFill>
              <w14:schemeClr w14:val="tx1"/>
            </w14:solidFill>
          </w14:textFill>
        </w:rPr>
        <w:t>顺延。在上述情况下，招标人与投标人以前在投标截止期方面的全部权力、责任和义务，将适用于延长后新的投标截止期。</w:t>
      </w:r>
    </w:p>
    <w:p w14:paraId="35296DEC">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4" w:name="_Toc6302"/>
      <w:bookmarkStart w:id="235" w:name="_Toc136173586"/>
      <w:r>
        <w:rPr>
          <w:rFonts w:hint="eastAsia" w:ascii="宋体" w:hAnsi="宋体" w:eastAsia="宋体" w:cs="宋体"/>
          <w:b/>
          <w:bCs/>
          <w:color w:val="000000" w:themeColor="text1"/>
          <w:szCs w:val="24"/>
          <w14:textFill>
            <w14:solidFill>
              <w14:schemeClr w14:val="tx1"/>
            </w14:solidFill>
          </w14:textFill>
        </w:rPr>
        <w:t>4.4 迟交的投标文件</w:t>
      </w:r>
      <w:bookmarkEnd w:id="234"/>
      <w:bookmarkEnd w:id="235"/>
    </w:p>
    <w:p w14:paraId="5E28755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招标人在投标截止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以后收到的投标文件，将</w:t>
      </w:r>
      <w:r>
        <w:rPr>
          <w:rFonts w:hint="eastAsia" w:ascii="宋体" w:hAnsi="宋体" w:eastAsia="宋体" w:cs="宋体"/>
          <w:color w:val="000000" w:themeColor="text1"/>
          <w:szCs w:val="24"/>
          <w14:textFill>
            <w14:solidFill>
              <w14:schemeClr w14:val="tx1"/>
            </w14:solidFill>
          </w14:textFill>
        </w:rPr>
        <w:t>被拒绝</w:t>
      </w:r>
      <w:r>
        <w:rPr>
          <w:rFonts w:hint="eastAsia" w:ascii="宋体" w:hAnsi="宋体" w:eastAsia="宋体" w:cs="宋体"/>
          <w:color w:val="000000" w:themeColor="text1"/>
          <w:szCs w:val="24"/>
          <w:lang w:val="zh-CN"/>
          <w14:textFill>
            <w14:solidFill>
              <w14:schemeClr w14:val="tx1"/>
            </w14:solidFill>
          </w14:textFill>
        </w:rPr>
        <w:t>。</w:t>
      </w:r>
    </w:p>
    <w:p w14:paraId="42CE67CE">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6" w:name="_Toc136173587"/>
      <w:bookmarkStart w:id="237" w:name="_Toc8324"/>
      <w:r>
        <w:rPr>
          <w:rFonts w:hint="eastAsia" w:ascii="宋体" w:hAnsi="宋体" w:eastAsia="宋体" w:cs="宋体"/>
          <w:b/>
          <w:bCs/>
          <w:color w:val="000000" w:themeColor="text1"/>
          <w:szCs w:val="24"/>
          <w14:textFill>
            <w14:solidFill>
              <w14:schemeClr w14:val="tx1"/>
            </w14:solidFill>
          </w14:textFill>
        </w:rPr>
        <w:t>4.5 投标文件的修改和撤回</w:t>
      </w:r>
      <w:bookmarkEnd w:id="236"/>
      <w:bookmarkEnd w:id="237"/>
    </w:p>
    <w:p w14:paraId="4F9CA17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投标人在递交投标文件后，在规定的投标截止时间之前，可以书面形式向招标人递交请求修改或撤回其投标文件的通知。但在投标截止日期以后不能修改或撤回投标文件。</w:t>
      </w:r>
    </w:p>
    <w:p w14:paraId="12D427D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投标人修改后的投标文件或撤回通知，应按本须知规定编制、密封、标志和递交，并在包封</w:t>
      </w:r>
      <w:r>
        <w:rPr>
          <w:rFonts w:hint="eastAsia" w:ascii="宋体" w:hAnsi="宋体" w:eastAsia="宋体" w:cs="宋体"/>
          <w:color w:val="000000" w:themeColor="text1"/>
          <w:szCs w:val="24"/>
          <w14:textFill>
            <w14:solidFill>
              <w14:schemeClr w14:val="tx1"/>
            </w14:solidFill>
          </w14:textFill>
        </w:rPr>
        <w:t>上</w:t>
      </w:r>
      <w:r>
        <w:rPr>
          <w:rFonts w:hint="eastAsia" w:ascii="宋体" w:hAnsi="宋体" w:eastAsia="宋体" w:cs="宋体"/>
          <w:color w:val="000000" w:themeColor="text1"/>
          <w:szCs w:val="24"/>
          <w:lang w:val="zh-CN"/>
          <w14:textFill>
            <w14:solidFill>
              <w14:schemeClr w14:val="tx1"/>
            </w14:solidFill>
          </w14:textFill>
        </w:rPr>
        <w:t>标明“修改”或“撤回”的字样。</w:t>
      </w:r>
    </w:p>
    <w:p w14:paraId="57070CA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根据本须知规定，在投标截止时间与招标文件中规定的投标有效期终止日之间的这段时间内，投标人不能撤回投标文件。</w:t>
      </w:r>
    </w:p>
    <w:p w14:paraId="31AE54A1">
      <w:pPr>
        <w:spacing w:line="360" w:lineRule="auto"/>
        <w:rPr>
          <w:rFonts w:ascii="宋体" w:hAnsi="宋体" w:eastAsia="宋体" w:cs="宋体"/>
          <w:b/>
          <w:bCs/>
          <w:color w:val="000000" w:themeColor="text1"/>
          <w:szCs w:val="24"/>
          <w:highlight w:val="yellow"/>
          <w14:textFill>
            <w14:solidFill>
              <w14:schemeClr w14:val="tx1"/>
            </w14:solidFill>
          </w14:textFill>
        </w:rPr>
      </w:pPr>
      <w:r>
        <w:rPr>
          <w:rFonts w:hint="eastAsia" w:ascii="宋体" w:hAnsi="宋体" w:eastAsia="宋体" w:cs="宋体"/>
          <w:b/>
          <w:bCs/>
          <w:color w:val="000000" w:themeColor="text1"/>
          <w:szCs w:val="24"/>
          <w:highlight w:val="yellow"/>
          <w14:textFill>
            <w14:solidFill>
              <w14:schemeClr w14:val="tx1"/>
            </w14:solidFill>
          </w14:textFill>
        </w:rPr>
        <w:t>4.5.4 如采用线上招标请参照投标须知内容即可。</w:t>
      </w:r>
    </w:p>
    <w:p w14:paraId="33576C34">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38" w:name="_Toc12804"/>
      <w:bookmarkStart w:id="239" w:name="_Toc136173588"/>
      <w:r>
        <w:rPr>
          <w:rFonts w:hint="eastAsia" w:ascii="宋体" w:hAnsi="宋体" w:cs="宋体"/>
          <w:color w:val="000000" w:themeColor="text1"/>
          <w:sz w:val="24"/>
          <w:szCs w:val="24"/>
          <w14:textFill>
            <w14:solidFill>
              <w14:schemeClr w14:val="tx1"/>
            </w14:solidFill>
          </w14:textFill>
        </w:rPr>
        <w:t>5.  开标</w:t>
      </w:r>
      <w:bookmarkEnd w:id="224"/>
      <w:bookmarkEnd w:id="225"/>
      <w:bookmarkEnd w:id="238"/>
      <w:bookmarkEnd w:id="239"/>
    </w:p>
    <w:p w14:paraId="026F843F">
      <w:pPr>
        <w:spacing w:line="360" w:lineRule="auto"/>
        <w:outlineLvl w:val="2"/>
        <w:rPr>
          <w:rFonts w:ascii="宋体" w:hAnsi="宋体" w:eastAsia="宋体" w:cs="宋体"/>
          <w:b/>
          <w:bCs/>
          <w:color w:val="000000" w:themeColor="text1"/>
          <w:szCs w:val="24"/>
          <w14:textFill>
            <w14:solidFill>
              <w14:schemeClr w14:val="tx1"/>
            </w14:solidFill>
          </w14:textFill>
        </w:rPr>
      </w:pPr>
      <w:bookmarkStart w:id="240" w:name="_Toc7579"/>
      <w:bookmarkStart w:id="241" w:name="_Toc136173589"/>
      <w:r>
        <w:rPr>
          <w:rFonts w:hint="eastAsia" w:ascii="宋体" w:hAnsi="宋体" w:eastAsia="宋体" w:cs="宋体"/>
          <w:b/>
          <w:bCs/>
          <w:color w:val="000000" w:themeColor="text1"/>
          <w:szCs w:val="24"/>
          <w14:textFill>
            <w14:solidFill>
              <w14:schemeClr w14:val="tx1"/>
            </w14:solidFill>
          </w14:textFill>
        </w:rPr>
        <w:t>5.1 开标时间及地点</w:t>
      </w:r>
      <w:bookmarkEnd w:id="240"/>
      <w:bookmarkEnd w:id="241"/>
    </w:p>
    <w:p w14:paraId="001543C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087B5D0F">
      <w:pPr>
        <w:spacing w:line="360" w:lineRule="auto"/>
        <w:outlineLvl w:val="2"/>
        <w:rPr>
          <w:rFonts w:ascii="宋体" w:hAnsi="宋体" w:eastAsia="宋体" w:cs="宋体"/>
          <w:b/>
          <w:bCs/>
          <w:color w:val="000000" w:themeColor="text1"/>
          <w:szCs w:val="24"/>
          <w14:textFill>
            <w14:solidFill>
              <w14:schemeClr w14:val="tx1"/>
            </w14:solidFill>
          </w14:textFill>
        </w:rPr>
      </w:pPr>
      <w:bookmarkStart w:id="242" w:name="_Toc26498"/>
      <w:bookmarkStart w:id="243" w:name="_Toc136173590"/>
      <w:r>
        <w:rPr>
          <w:rFonts w:hint="eastAsia" w:ascii="宋体" w:hAnsi="宋体" w:eastAsia="宋体" w:cs="宋体"/>
          <w:b/>
          <w:bCs/>
          <w:color w:val="000000" w:themeColor="text1"/>
          <w:szCs w:val="24"/>
          <w14:textFill>
            <w14:solidFill>
              <w14:schemeClr w14:val="tx1"/>
            </w14:solidFill>
          </w14:textFill>
        </w:rPr>
        <w:t>5.2开标程序</w:t>
      </w:r>
      <w:bookmarkEnd w:id="242"/>
      <w:bookmarkEnd w:id="243"/>
    </w:p>
    <w:p w14:paraId="73B98AD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40BFFDED">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4" w:name="_Toc23800"/>
      <w:bookmarkStart w:id="245" w:name="_Toc136173591"/>
      <w:bookmarkStart w:id="246" w:name="_Toc78948807"/>
      <w:bookmarkStart w:id="247" w:name="_Toc9457674"/>
      <w:r>
        <w:rPr>
          <w:rFonts w:hint="eastAsia" w:ascii="宋体" w:hAnsi="宋体" w:cs="宋体"/>
          <w:color w:val="000000" w:themeColor="text1"/>
          <w:sz w:val="24"/>
          <w:szCs w:val="24"/>
          <w14:textFill>
            <w14:solidFill>
              <w14:schemeClr w14:val="tx1"/>
            </w14:solidFill>
          </w14:textFill>
        </w:rPr>
        <w:t>6. 评标</w:t>
      </w:r>
      <w:bookmarkEnd w:id="244"/>
      <w:bookmarkEnd w:id="245"/>
      <w:bookmarkEnd w:id="246"/>
      <w:bookmarkEnd w:id="247"/>
    </w:p>
    <w:p w14:paraId="53EF31AB">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本次项目的评标过程由招标人自行组织。</w:t>
      </w:r>
    </w:p>
    <w:p w14:paraId="0419E95D">
      <w:pPr>
        <w:spacing w:line="360" w:lineRule="auto"/>
        <w:outlineLvl w:val="2"/>
        <w:rPr>
          <w:rFonts w:ascii="宋体" w:hAnsi="宋体" w:eastAsia="宋体" w:cs="宋体"/>
          <w:b/>
          <w:bCs/>
          <w:color w:val="000000" w:themeColor="text1"/>
          <w:szCs w:val="24"/>
          <w14:textFill>
            <w14:solidFill>
              <w14:schemeClr w14:val="tx1"/>
            </w14:solidFill>
          </w14:textFill>
        </w:rPr>
      </w:pPr>
      <w:bookmarkStart w:id="248" w:name="_Toc136173592"/>
      <w:bookmarkStart w:id="249" w:name="_Toc6585"/>
      <w:r>
        <w:rPr>
          <w:rFonts w:hint="eastAsia" w:ascii="宋体" w:hAnsi="宋体" w:eastAsia="宋体" w:cs="宋体"/>
          <w:b/>
          <w:bCs/>
          <w:color w:val="000000" w:themeColor="text1"/>
          <w:szCs w:val="24"/>
          <w14:textFill>
            <w14:solidFill>
              <w14:schemeClr w14:val="tx1"/>
            </w14:solidFill>
          </w14:textFill>
        </w:rPr>
        <w:t>6.1 评标委员会</w:t>
      </w:r>
      <w:bookmarkEnd w:id="248"/>
      <w:bookmarkEnd w:id="249"/>
    </w:p>
    <w:p w14:paraId="45023F0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6.1.1 招标</w:t>
      </w:r>
      <w:r>
        <w:rPr>
          <w:rFonts w:hint="eastAsia" w:ascii="宋体" w:hAnsi="宋体" w:eastAsia="宋体" w:cs="宋体"/>
          <w:color w:val="000000" w:themeColor="text1"/>
          <w:szCs w:val="24"/>
          <w14:textFill>
            <w14:solidFill>
              <w14:schemeClr w14:val="tx1"/>
            </w14:solidFill>
          </w14:textFill>
        </w:rPr>
        <w:t>人自行</w:t>
      </w:r>
      <w:r>
        <w:rPr>
          <w:rFonts w:hint="eastAsia" w:ascii="宋体" w:hAnsi="宋体" w:eastAsia="宋体" w:cs="宋体"/>
          <w:color w:val="000000" w:themeColor="text1"/>
          <w:szCs w:val="24"/>
          <w:lang w:val="zh-CN"/>
          <w14:textFill>
            <w14:solidFill>
              <w14:schemeClr w14:val="tx1"/>
            </w14:solidFill>
          </w14:textFill>
        </w:rPr>
        <w:t>组建评标委员会，评标委员会由有关经济、技术等方面的专家组成。</w:t>
      </w:r>
    </w:p>
    <w:p w14:paraId="7BBABC5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6.2.</w:t>
      </w:r>
      <w:r>
        <w:rPr>
          <w:rFonts w:hint="eastAsia" w:ascii="宋体" w:hAnsi="宋体" w:eastAsia="宋体" w:cs="宋体"/>
          <w:color w:val="000000" w:themeColor="text1"/>
          <w:szCs w:val="24"/>
          <w14:textFill>
            <w14:solidFill>
              <w14:schemeClr w14:val="tx1"/>
            </w14:solidFill>
          </w14:textFill>
        </w:rPr>
        <w:t xml:space="preserve">2 </w:t>
      </w:r>
      <w:r>
        <w:rPr>
          <w:rFonts w:hint="eastAsia" w:ascii="宋体" w:hAnsi="宋体" w:eastAsia="宋体" w:cs="宋体"/>
          <w:color w:val="000000" w:themeColor="text1"/>
          <w:szCs w:val="24"/>
          <w:lang w:val="zh-CN"/>
          <w14:textFill>
            <w14:solidFill>
              <w14:schemeClr w14:val="tx1"/>
            </w14:solidFill>
          </w14:textFill>
        </w:rPr>
        <w:t>评标委员会负责评标工作，对投标文件进行审查和评估。</w:t>
      </w:r>
    </w:p>
    <w:p w14:paraId="78048DF4">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0" w:name="_Toc136173593"/>
      <w:bookmarkStart w:id="251" w:name="_Toc13688"/>
      <w:r>
        <w:rPr>
          <w:rFonts w:hint="eastAsia" w:ascii="宋体" w:hAnsi="宋体" w:eastAsia="宋体" w:cs="宋体"/>
          <w:b/>
          <w:bCs/>
          <w:color w:val="000000" w:themeColor="text1"/>
          <w:szCs w:val="24"/>
          <w14:textFill>
            <w14:solidFill>
              <w14:schemeClr w14:val="tx1"/>
            </w14:solidFill>
          </w14:textFill>
        </w:rPr>
        <w:t>6.2 评标原则</w:t>
      </w:r>
      <w:bookmarkEnd w:id="250"/>
      <w:bookmarkEnd w:id="251"/>
    </w:p>
    <w:p w14:paraId="188A81D7">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评标活动遵循公平、公正、科学和择优的原则。</w:t>
      </w:r>
    </w:p>
    <w:p w14:paraId="45BD96AE">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2" w:name="_Toc136173594"/>
      <w:bookmarkStart w:id="253" w:name="_Toc4963"/>
      <w:r>
        <w:rPr>
          <w:rFonts w:hint="eastAsia" w:ascii="宋体" w:hAnsi="宋体" w:eastAsia="宋体" w:cs="宋体"/>
          <w:b/>
          <w:bCs/>
          <w:color w:val="000000" w:themeColor="text1"/>
          <w:szCs w:val="24"/>
          <w14:textFill>
            <w14:solidFill>
              <w14:schemeClr w14:val="tx1"/>
            </w14:solidFill>
          </w14:textFill>
        </w:rPr>
        <w:t>6.3 评标方法</w:t>
      </w:r>
      <w:bookmarkEnd w:id="252"/>
      <w:bookmarkEnd w:id="253"/>
    </w:p>
    <w:p w14:paraId="32A6EAF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评标委员会按照第二章“评标办法”规定的方法、评审因素、标准和程序对投标文件进行评审。</w:t>
      </w:r>
    </w:p>
    <w:p w14:paraId="508D19E4">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4" w:name="_Toc136173595"/>
      <w:bookmarkStart w:id="255" w:name="_Toc7580"/>
      <w:r>
        <w:rPr>
          <w:rFonts w:hint="eastAsia" w:ascii="宋体" w:hAnsi="宋体" w:eastAsia="宋体" w:cs="宋体"/>
          <w:b/>
          <w:bCs/>
          <w:color w:val="000000" w:themeColor="text1"/>
          <w:szCs w:val="24"/>
          <w14:textFill>
            <w14:solidFill>
              <w14:schemeClr w14:val="tx1"/>
            </w14:solidFill>
          </w14:textFill>
        </w:rPr>
        <w:t>6.4 投标文件的有效性</w:t>
      </w:r>
      <w:bookmarkEnd w:id="254"/>
      <w:bookmarkEnd w:id="255"/>
    </w:p>
    <w:p w14:paraId="752F2A4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投标文件有下列情况之一者，按废标处理：</w:t>
      </w:r>
    </w:p>
    <w:p w14:paraId="57D14CA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（1）投标截止时间以后送达的；</w:t>
      </w:r>
    </w:p>
    <w:p w14:paraId="4C2EBBD3">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（2）未按招标文件要求密封的；</w:t>
      </w:r>
    </w:p>
    <w:p w14:paraId="2E7D056E">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（3）未按招标文件要求加盖投标人公章和法定代表人或授权委托人签署的；</w:t>
      </w:r>
    </w:p>
    <w:p w14:paraId="69213CA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）未按招标文件要求格式填写，内容不全或字迹模糊辨认不清的；</w:t>
      </w:r>
    </w:p>
    <w:p w14:paraId="4EBEEB00">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hint="eastAsia" w:ascii="宋体" w:hAnsi="宋体" w:eastAsia="宋体" w:cs="宋体"/>
          <w:color w:val="000000" w:themeColor="text1"/>
          <w:szCs w:val="24"/>
          <w:lang w:val="zh-CN"/>
          <w14:textFill>
            <w14:solidFill>
              <w14:schemeClr w14:val="tx1"/>
            </w14:solidFill>
          </w14:textFill>
        </w:rPr>
        <w:t>投标报价高于</w:t>
      </w:r>
      <w:r>
        <w:rPr>
          <w:rFonts w:hint="eastAsia" w:ascii="宋体" w:hAnsi="宋体" w:eastAsia="宋体" w:cs="宋体"/>
          <w:color w:val="000000" w:themeColor="text1"/>
          <w:szCs w:val="24"/>
          <w14:textFill>
            <w14:solidFill>
              <w14:schemeClr w14:val="tx1"/>
            </w14:solidFill>
          </w14:textFill>
        </w:rPr>
        <w:t>本项目投标限</w:t>
      </w:r>
      <w:r>
        <w:rPr>
          <w:rFonts w:hint="eastAsia" w:ascii="宋体" w:hAnsi="宋体" w:eastAsia="宋体" w:cs="宋体"/>
          <w:color w:val="000000" w:themeColor="text1"/>
          <w:szCs w:val="24"/>
          <w:lang w:val="zh-CN"/>
          <w14:textFill>
            <w14:solidFill>
              <w14:schemeClr w14:val="tx1"/>
            </w14:solidFill>
          </w14:textFill>
        </w:rPr>
        <w:t>价；</w:t>
      </w:r>
    </w:p>
    <w:p w14:paraId="2A9C359A">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6</w:t>
      </w:r>
      <w:r>
        <w:rPr>
          <w:rFonts w:hint="eastAsia" w:ascii="宋体" w:hAnsi="宋体" w:eastAsia="宋体" w:cs="宋体"/>
          <w:color w:val="000000" w:themeColor="text1"/>
          <w:szCs w:val="24"/>
          <w:lang w:val="zh-CN"/>
          <w14:textFill>
            <w14:solidFill>
              <w14:schemeClr w14:val="tx1"/>
            </w14:solidFill>
          </w14:textFill>
        </w:rPr>
        <w:t>）投标人拒不按照要求对投标文件进行澄清、说明或者补正的；</w:t>
      </w:r>
    </w:p>
    <w:p w14:paraId="7659769F">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）投标人以他人名义投标、串通投标、以行贿手段谋取中标或者以其它弄虚作假方式投标的；</w:t>
      </w:r>
    </w:p>
    <w:p w14:paraId="7911549C">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8</w:t>
      </w:r>
      <w:r>
        <w:rPr>
          <w:rFonts w:hint="eastAsia" w:ascii="宋体" w:hAnsi="宋体" w:eastAsia="宋体" w:cs="宋体"/>
          <w:color w:val="000000" w:themeColor="text1"/>
          <w:szCs w:val="24"/>
          <w:lang w:val="zh-CN"/>
          <w14:textFill>
            <w14:solidFill>
              <w14:schemeClr w14:val="tx1"/>
            </w14:solidFill>
          </w14:textFill>
        </w:rPr>
        <w:t>）投标文件附有招标人不能接受的条件的；</w:t>
      </w:r>
    </w:p>
    <w:p w14:paraId="003F6AEA">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9</w:t>
      </w:r>
      <w:r>
        <w:rPr>
          <w:rFonts w:hint="eastAsia" w:ascii="宋体" w:hAnsi="宋体" w:eastAsia="宋体" w:cs="宋体"/>
          <w:color w:val="000000" w:themeColor="text1"/>
          <w:szCs w:val="24"/>
          <w:lang w:val="zh-CN"/>
          <w14:textFill>
            <w14:solidFill>
              <w14:schemeClr w14:val="tx1"/>
            </w14:solidFill>
          </w14:textFill>
        </w:rPr>
        <w:t>）投标文件有实质上不响应招标文件内容的。</w:t>
      </w:r>
    </w:p>
    <w:p w14:paraId="26FF2C81">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6" w:name="_Toc11443"/>
      <w:bookmarkStart w:id="257" w:name="_Toc136173596"/>
      <w:r>
        <w:rPr>
          <w:rFonts w:hint="eastAsia" w:ascii="宋体" w:hAnsi="宋体" w:eastAsia="宋体" w:cs="宋体"/>
          <w:b/>
          <w:bCs/>
          <w:color w:val="000000" w:themeColor="text1"/>
          <w:szCs w:val="24"/>
          <w14:textFill>
            <w14:solidFill>
              <w14:schemeClr w14:val="tx1"/>
            </w14:solidFill>
          </w14:textFill>
        </w:rPr>
        <w:t>6.5 投标文件的澄清</w:t>
      </w:r>
      <w:bookmarkEnd w:id="256"/>
      <w:bookmarkEnd w:id="257"/>
    </w:p>
    <w:p w14:paraId="1782B0B2">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14:paraId="658AB731">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8" w:name="_Toc136173597"/>
      <w:bookmarkStart w:id="259" w:name="_Toc26908"/>
      <w:r>
        <w:rPr>
          <w:rFonts w:hint="eastAsia" w:ascii="宋体" w:hAnsi="宋体" w:eastAsia="宋体" w:cs="宋体"/>
          <w:b/>
          <w:bCs/>
          <w:color w:val="000000" w:themeColor="text1"/>
          <w:szCs w:val="24"/>
          <w14:textFill>
            <w14:solidFill>
              <w14:schemeClr w14:val="tx1"/>
            </w14:solidFill>
          </w14:textFill>
        </w:rPr>
        <w:t xml:space="preserve">6.6 </w:t>
      </w:r>
      <w:bookmarkStart w:id="260" w:name="_Toc125171142"/>
      <w:bookmarkStart w:id="261" w:name="_Toc29356233"/>
      <w:r>
        <w:rPr>
          <w:rFonts w:hint="eastAsia" w:ascii="宋体" w:hAnsi="宋体" w:eastAsia="宋体" w:cs="宋体"/>
          <w:b/>
          <w:bCs/>
          <w:color w:val="000000" w:themeColor="text1"/>
          <w:szCs w:val="24"/>
          <w14:textFill>
            <w14:solidFill>
              <w14:schemeClr w14:val="tx1"/>
            </w14:solidFill>
          </w14:textFill>
        </w:rPr>
        <w:t>投标文件的初步评审</w:t>
      </w:r>
      <w:bookmarkEnd w:id="258"/>
      <w:bookmarkEnd w:id="259"/>
    </w:p>
    <w:p w14:paraId="5A1D520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6.6.1 评标委员会将审查投标文件是否完整、资格证明文件是否齐全等。</w:t>
      </w:r>
    </w:p>
    <w:p w14:paraId="699C756E">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6.6.2 对于投标文件中不构成实质性偏差的不正规、不一致或不规则，招标方可以接受，但这种接受将影响投标人的综合得分。</w:t>
      </w:r>
    </w:p>
    <w:p w14:paraId="3936D2E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6.6.3 在详细评标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w:t>
      </w:r>
    </w:p>
    <w:p w14:paraId="57811D51">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6.6.4 如果投标文件实质上不响应招标文件的各项要求，评标委员会将予以拒绝，并且不允许投标人通过修改或撤消其不符合要求的差异或保留，使之成为具有响应性的投标。</w:t>
      </w:r>
    </w:p>
    <w:bookmarkEnd w:id="260"/>
    <w:bookmarkEnd w:id="261"/>
    <w:p w14:paraId="284BCBC5">
      <w:pPr>
        <w:spacing w:line="360" w:lineRule="auto"/>
        <w:outlineLvl w:val="2"/>
        <w:rPr>
          <w:rFonts w:ascii="宋体" w:hAnsi="宋体" w:eastAsia="宋体" w:cs="宋体"/>
          <w:b/>
          <w:bCs/>
          <w:color w:val="000000" w:themeColor="text1"/>
          <w:szCs w:val="24"/>
          <w14:textFill>
            <w14:solidFill>
              <w14:schemeClr w14:val="tx1"/>
            </w14:solidFill>
          </w14:textFill>
        </w:rPr>
      </w:pPr>
      <w:bookmarkStart w:id="262" w:name="_Toc136173598"/>
      <w:bookmarkStart w:id="263" w:name="_Toc24065"/>
      <w:r>
        <w:rPr>
          <w:rFonts w:hint="eastAsia" w:ascii="宋体" w:hAnsi="宋体" w:eastAsia="宋体" w:cs="宋体"/>
          <w:b/>
          <w:bCs/>
          <w:color w:val="000000" w:themeColor="text1"/>
          <w:szCs w:val="24"/>
          <w14:textFill>
            <w14:solidFill>
              <w14:schemeClr w14:val="tx1"/>
            </w14:solidFill>
          </w14:textFill>
        </w:rPr>
        <w:t>6.7 投标文件的详细评审</w:t>
      </w:r>
      <w:bookmarkEnd w:id="262"/>
      <w:bookmarkEnd w:id="263"/>
    </w:p>
    <w:p w14:paraId="11FC6CD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.1 评标委员会只对确定为实质上响应招标文件要求的投标</w:t>
      </w:r>
      <w:r>
        <w:rPr>
          <w:rFonts w:hint="eastAsia" w:ascii="宋体" w:hAnsi="宋体" w:eastAsia="宋体" w:cs="宋体"/>
          <w:color w:val="000000" w:themeColor="text1"/>
          <w:szCs w:val="24"/>
          <w14:textFill>
            <w14:solidFill>
              <w14:schemeClr w14:val="tx1"/>
            </w14:solidFill>
          </w14:textFill>
        </w:rPr>
        <w:t>文件</w:t>
      </w:r>
      <w:r>
        <w:rPr>
          <w:rFonts w:hint="eastAsia" w:ascii="宋体" w:hAnsi="宋体" w:eastAsia="宋体" w:cs="宋体"/>
          <w:color w:val="000000" w:themeColor="text1"/>
          <w:szCs w:val="24"/>
          <w:lang w:val="zh-CN"/>
          <w14:textFill>
            <w14:solidFill>
              <w14:schemeClr w14:val="tx1"/>
            </w14:solidFill>
          </w14:textFill>
        </w:rPr>
        <w:t>进行详细评审。</w:t>
      </w:r>
    </w:p>
    <w:p w14:paraId="485C196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.2 详细评审即以招标文件为依据，对所有实质上响应的投标分别从商务、技术和价格三个方面进行评审并按照百分制进行综合打分（详见第</w:t>
      </w:r>
      <w:r>
        <w:rPr>
          <w:rFonts w:hint="eastAsia" w:ascii="宋体" w:hAnsi="宋体" w:eastAsia="宋体" w:cs="宋体"/>
          <w:color w:val="000000" w:themeColor="text1"/>
          <w:szCs w:val="24"/>
          <w14:textFill>
            <w14:solidFill>
              <w14:schemeClr w14:val="tx1"/>
            </w14:solidFill>
          </w14:textFill>
        </w:rPr>
        <w:t>二</w:t>
      </w:r>
      <w:r>
        <w:rPr>
          <w:rFonts w:hint="eastAsia" w:ascii="宋体" w:hAnsi="宋体" w:eastAsia="宋体" w:cs="宋体"/>
          <w:color w:val="000000" w:themeColor="text1"/>
          <w:szCs w:val="24"/>
          <w:lang w:val="zh-CN"/>
          <w14:textFill>
            <w14:solidFill>
              <w14:schemeClr w14:val="tx1"/>
            </w14:solidFill>
          </w14:textFill>
        </w:rPr>
        <w:t>章《评标</w:t>
      </w:r>
      <w:r>
        <w:rPr>
          <w:rFonts w:hint="eastAsia" w:ascii="宋体" w:hAnsi="宋体" w:eastAsia="宋体" w:cs="宋体"/>
          <w:color w:val="000000" w:themeColor="text1"/>
          <w:szCs w:val="24"/>
          <w14:textFill>
            <w14:solidFill>
              <w14:schemeClr w14:val="tx1"/>
            </w14:solidFill>
          </w14:textFill>
        </w:rPr>
        <w:t>办法》</w:t>
      </w:r>
      <w:r>
        <w:rPr>
          <w:rFonts w:hint="eastAsia" w:ascii="宋体" w:hAnsi="宋体" w:eastAsia="宋体" w:cs="宋体"/>
          <w:color w:val="000000" w:themeColor="text1"/>
          <w:szCs w:val="24"/>
          <w:lang w:val="zh-CN"/>
          <w14:textFill>
            <w14:solidFill>
              <w14:schemeClr w14:val="tx1"/>
            </w14:solidFill>
          </w14:textFill>
        </w:rPr>
        <w:t>）。</w:t>
      </w:r>
    </w:p>
    <w:p w14:paraId="22908F88">
      <w:pPr>
        <w:spacing w:line="360" w:lineRule="auto"/>
        <w:outlineLvl w:val="2"/>
        <w:rPr>
          <w:rFonts w:ascii="宋体" w:hAnsi="宋体" w:eastAsia="宋体" w:cs="宋体"/>
          <w:b/>
          <w:bCs/>
          <w:color w:val="000000" w:themeColor="text1"/>
          <w:szCs w:val="24"/>
          <w14:textFill>
            <w14:solidFill>
              <w14:schemeClr w14:val="tx1"/>
            </w14:solidFill>
          </w14:textFill>
        </w:rPr>
      </w:pPr>
      <w:bookmarkStart w:id="264" w:name="_Toc136173599"/>
      <w:bookmarkStart w:id="265" w:name="_Toc2914"/>
      <w:r>
        <w:rPr>
          <w:rFonts w:hint="eastAsia" w:ascii="宋体" w:hAnsi="宋体" w:eastAsia="宋体" w:cs="宋体"/>
          <w:b/>
          <w:bCs/>
          <w:color w:val="000000" w:themeColor="text1"/>
          <w:szCs w:val="24"/>
          <w14:textFill>
            <w14:solidFill>
              <w14:schemeClr w14:val="tx1"/>
            </w14:solidFill>
          </w14:textFill>
        </w:rPr>
        <w:t>6.8 中标人的确定</w:t>
      </w:r>
      <w:bookmarkEnd w:id="264"/>
      <w:bookmarkEnd w:id="265"/>
    </w:p>
    <w:p w14:paraId="02384B3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评标委员会对进入详细评审的投标人进行综合评分并做出排序，得分最高的投标人将被确认为第一中标候选人，综合得分排名第二的为第二中标候选人，以此类推，推荐三名中标候选人。如果两个投标人得分相同时，取投标价格低者。</w:t>
      </w:r>
    </w:p>
    <w:p w14:paraId="4575528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招标人根据评标委员会的评审结果</w:t>
      </w:r>
      <w:r>
        <w:rPr>
          <w:rFonts w:hint="eastAsia" w:ascii="宋体" w:hAnsi="宋体" w:eastAsia="宋体" w:cs="宋体"/>
          <w:color w:val="000000" w:themeColor="text1"/>
          <w:szCs w:val="24"/>
          <w14:textFill>
            <w14:solidFill>
              <w14:schemeClr w14:val="tx1"/>
            </w14:solidFill>
          </w14:textFill>
        </w:rPr>
        <w:t>最终</w:t>
      </w:r>
      <w:r>
        <w:rPr>
          <w:rFonts w:hint="eastAsia" w:ascii="宋体" w:hAnsi="宋体" w:eastAsia="宋体" w:cs="宋体"/>
          <w:color w:val="000000" w:themeColor="text1"/>
          <w:szCs w:val="24"/>
          <w:lang w:val="zh-CN"/>
          <w14:textFill>
            <w14:solidFill>
              <w14:schemeClr w14:val="tx1"/>
            </w14:solidFill>
          </w14:textFill>
        </w:rPr>
        <w:t>确定中标人。招标人不保证</w:t>
      </w:r>
      <w:r>
        <w:rPr>
          <w:rFonts w:hint="eastAsia" w:ascii="宋体" w:hAnsi="宋体" w:eastAsia="宋体" w:cs="宋体"/>
          <w:color w:val="000000" w:themeColor="text1"/>
          <w:szCs w:val="24"/>
          <w14:textFill>
            <w14:solidFill>
              <w14:schemeClr w14:val="tx1"/>
            </w14:solidFill>
          </w14:textFill>
        </w:rPr>
        <w:t>投标报价</w:t>
      </w:r>
      <w:r>
        <w:rPr>
          <w:rFonts w:hint="eastAsia" w:ascii="宋体" w:hAnsi="宋体" w:eastAsia="宋体" w:cs="宋体"/>
          <w:color w:val="000000" w:themeColor="text1"/>
          <w:szCs w:val="24"/>
          <w:lang w:val="zh-CN"/>
          <w14:textFill>
            <w14:solidFill>
              <w14:schemeClr w14:val="tx1"/>
            </w14:solidFill>
          </w14:textFill>
        </w:rPr>
        <w:t>最低的投标人中标，对未中标的投标人无解释义务。</w:t>
      </w:r>
    </w:p>
    <w:p w14:paraId="699FDFC7">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66" w:name="_Toc32702"/>
      <w:bookmarkStart w:id="267" w:name="_Toc136173600"/>
      <w:bookmarkStart w:id="268" w:name="_Toc9457675"/>
      <w:bookmarkStart w:id="269" w:name="_Toc78948808"/>
      <w:bookmarkStart w:id="270" w:name="_Toc277669825"/>
      <w:r>
        <w:rPr>
          <w:rFonts w:hint="eastAsia" w:ascii="宋体" w:hAnsi="宋体" w:cs="宋体"/>
          <w:color w:val="000000" w:themeColor="text1"/>
          <w:sz w:val="24"/>
          <w:szCs w:val="24"/>
          <w14:textFill>
            <w14:solidFill>
              <w14:schemeClr w14:val="tx1"/>
            </w14:solidFill>
          </w14:textFill>
        </w:rPr>
        <w:t>7. 合同的授予</w:t>
      </w:r>
      <w:bookmarkEnd w:id="266"/>
      <w:bookmarkEnd w:id="267"/>
    </w:p>
    <w:p w14:paraId="3A972E24">
      <w:pPr>
        <w:spacing w:line="360" w:lineRule="auto"/>
        <w:outlineLvl w:val="2"/>
        <w:rPr>
          <w:rFonts w:ascii="宋体" w:hAnsi="宋体" w:eastAsia="宋体" w:cs="宋体"/>
          <w:b/>
          <w:bCs/>
          <w:color w:val="000000" w:themeColor="text1"/>
          <w:szCs w:val="24"/>
          <w14:textFill>
            <w14:solidFill>
              <w14:schemeClr w14:val="tx1"/>
            </w14:solidFill>
          </w14:textFill>
        </w:rPr>
      </w:pPr>
      <w:bookmarkStart w:id="271" w:name="_Toc136173601"/>
      <w:bookmarkStart w:id="272" w:name="_Toc2848"/>
      <w:r>
        <w:rPr>
          <w:rFonts w:hint="eastAsia" w:ascii="宋体" w:hAnsi="宋体" w:eastAsia="宋体" w:cs="宋体"/>
          <w:b/>
          <w:bCs/>
          <w:color w:val="000000" w:themeColor="text1"/>
          <w:szCs w:val="24"/>
          <w14:textFill>
            <w14:solidFill>
              <w14:schemeClr w14:val="tx1"/>
            </w14:solidFill>
          </w14:textFill>
        </w:rPr>
        <w:t>7.1 授予合同</w:t>
      </w:r>
      <w:bookmarkEnd w:id="268"/>
      <w:bookmarkEnd w:id="269"/>
      <w:bookmarkEnd w:id="270"/>
      <w:bookmarkEnd w:id="271"/>
      <w:bookmarkEnd w:id="272"/>
    </w:p>
    <w:p w14:paraId="01AF79B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合同授予标准</w:t>
      </w:r>
    </w:p>
    <w:p w14:paraId="70C2D96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招标人将把合同授予其投标文件在实质上响应招标文件要求和按评标程序评选出的投标人，确定为中标的投标人必须具有有效实施本合同的能力和财力。</w:t>
      </w:r>
    </w:p>
    <w:p w14:paraId="6DDF5C8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7.1.2 招标人保留在授标前任何时候接受或拒绝任何投标，以及宣布招标程序无效或拒绝所有投标的权力，对受影响的投标人不承担任何责任。</w:t>
      </w:r>
    </w:p>
    <w:p w14:paraId="336B8AE6">
      <w:pPr>
        <w:spacing w:line="360" w:lineRule="auto"/>
        <w:outlineLvl w:val="2"/>
        <w:rPr>
          <w:rFonts w:ascii="宋体" w:hAnsi="宋体" w:eastAsia="宋体" w:cs="宋体"/>
          <w:b/>
          <w:bCs/>
          <w:color w:val="000000" w:themeColor="text1"/>
          <w:szCs w:val="24"/>
          <w14:textFill>
            <w14:solidFill>
              <w14:schemeClr w14:val="tx1"/>
            </w14:solidFill>
          </w14:textFill>
        </w:rPr>
      </w:pPr>
      <w:bookmarkStart w:id="273" w:name="_Toc136173602"/>
      <w:bookmarkStart w:id="274" w:name="_Toc21965"/>
      <w:r>
        <w:rPr>
          <w:rFonts w:hint="eastAsia" w:ascii="宋体" w:hAnsi="宋体" w:eastAsia="宋体" w:cs="宋体"/>
          <w:b/>
          <w:bCs/>
          <w:color w:val="000000" w:themeColor="text1"/>
          <w:szCs w:val="24"/>
          <w14:textFill>
            <w14:solidFill>
              <w14:schemeClr w14:val="tx1"/>
            </w14:solidFill>
          </w14:textFill>
        </w:rPr>
        <w:t>7.2 中标通知书</w:t>
      </w:r>
      <w:bookmarkEnd w:id="273"/>
      <w:bookmarkEnd w:id="274"/>
    </w:p>
    <w:p w14:paraId="4E6A537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.2.1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确定中标人后，在投标有效期截止前招标人将以中标通知书通知中标的投标人其投标被接受</w:t>
      </w:r>
      <w:r>
        <w:rPr>
          <w:rFonts w:hint="eastAsia" w:ascii="宋体" w:hAnsi="宋体" w:eastAsia="宋体" w:cs="宋体"/>
          <w:color w:val="000000" w:themeColor="text1"/>
          <w:szCs w:val="24"/>
          <w14:textFill>
            <w14:solidFill>
              <w14:schemeClr w14:val="tx1"/>
            </w14:solidFill>
          </w14:textFill>
        </w:rPr>
        <w:t>。中标通知书是合同文件的组成部分。</w:t>
      </w:r>
    </w:p>
    <w:p w14:paraId="0D47CFBE">
      <w:pPr>
        <w:spacing w:line="360" w:lineRule="auto"/>
        <w:outlineLvl w:val="2"/>
        <w:rPr>
          <w:rFonts w:ascii="宋体" w:hAnsi="宋体" w:eastAsia="宋体" w:cs="宋体"/>
          <w:b/>
          <w:bCs/>
          <w:color w:val="000000" w:themeColor="text1"/>
          <w:szCs w:val="24"/>
          <w14:textFill>
            <w14:solidFill>
              <w14:schemeClr w14:val="tx1"/>
            </w14:solidFill>
          </w14:textFill>
        </w:rPr>
      </w:pPr>
      <w:bookmarkStart w:id="275" w:name="_Toc136173603"/>
      <w:bookmarkStart w:id="276" w:name="_Toc31929"/>
      <w:r>
        <w:rPr>
          <w:rFonts w:hint="eastAsia" w:ascii="宋体" w:hAnsi="宋体" w:eastAsia="宋体" w:cs="宋体"/>
          <w:b/>
          <w:bCs/>
          <w:color w:val="000000" w:themeColor="text1"/>
          <w:szCs w:val="24"/>
          <w14:textFill>
            <w14:solidFill>
              <w14:schemeClr w14:val="tx1"/>
            </w14:solidFill>
          </w14:textFill>
        </w:rPr>
        <w:t>7.3合同签订</w:t>
      </w:r>
      <w:bookmarkEnd w:id="275"/>
      <w:bookmarkEnd w:id="276"/>
    </w:p>
    <w:p w14:paraId="23E0805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7.3.1 招标人或招标人指定的第三人与</w:t>
      </w:r>
      <w:r>
        <w:rPr>
          <w:rFonts w:hint="eastAsia" w:ascii="宋体" w:hAnsi="宋体" w:eastAsia="宋体" w:cs="宋体"/>
          <w:color w:val="000000" w:themeColor="text1"/>
          <w:szCs w:val="24"/>
          <w:lang w:val="zh-CN"/>
          <w14:textFill>
            <w14:solidFill>
              <w14:schemeClr w14:val="tx1"/>
            </w14:solidFill>
          </w14:textFill>
        </w:rPr>
        <w:t>中标人</w:t>
      </w:r>
      <w:r>
        <w:rPr>
          <w:rFonts w:hint="eastAsia" w:ascii="宋体" w:hAnsi="宋体" w:eastAsia="宋体" w:cs="宋体"/>
          <w:color w:val="000000" w:themeColor="text1"/>
          <w:szCs w:val="24"/>
          <w14:textFill>
            <w14:solidFill>
              <w14:schemeClr w14:val="tx1"/>
            </w14:solidFill>
          </w14:textFill>
        </w:rPr>
        <w:t>将于</w:t>
      </w:r>
      <w:r>
        <w:rPr>
          <w:rFonts w:hint="eastAsia" w:ascii="宋体" w:hAnsi="宋体" w:eastAsia="宋体" w:cs="宋体"/>
          <w:color w:val="000000" w:themeColor="text1"/>
          <w:szCs w:val="24"/>
          <w:lang w:val="zh-CN"/>
          <w14:textFill>
            <w14:solidFill>
              <w14:schemeClr w14:val="tx1"/>
            </w14:solidFill>
          </w14:textFill>
        </w:rPr>
        <w:t>中标通知书</w:t>
      </w:r>
      <w:r>
        <w:rPr>
          <w:rFonts w:hint="eastAsia" w:ascii="宋体" w:hAnsi="宋体" w:eastAsia="宋体" w:cs="宋体"/>
          <w:color w:val="000000" w:themeColor="text1"/>
          <w:szCs w:val="24"/>
          <w14:textFill>
            <w14:solidFill>
              <w14:schemeClr w14:val="tx1"/>
            </w14:solidFill>
          </w14:textFill>
        </w:rPr>
        <w:t>发出之日起10个工作日</w:t>
      </w:r>
      <w:r>
        <w:rPr>
          <w:rFonts w:hint="eastAsia" w:ascii="宋体" w:hAnsi="宋体" w:eastAsia="宋体" w:cs="宋体"/>
          <w:color w:val="000000" w:themeColor="text1"/>
          <w:szCs w:val="24"/>
          <w:lang w:val="zh-CN"/>
          <w14:textFill>
            <w14:solidFill>
              <w14:schemeClr w14:val="tx1"/>
            </w14:solidFill>
          </w14:textFill>
        </w:rPr>
        <w:t>内，按照招标文件和中标人的投标文件订立书面合同。合同文本见</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zh-CN"/>
          <w14:textFill>
            <w14:solidFill>
              <w14:schemeClr w14:val="tx1"/>
            </w14:solidFill>
          </w14:textFill>
        </w:rPr>
        <w:t>章</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合同文本</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w:t>
      </w:r>
    </w:p>
    <w:p w14:paraId="5FE8B08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7.3.2 </w:t>
      </w:r>
      <w:r>
        <w:rPr>
          <w:rFonts w:hint="eastAsia" w:ascii="宋体" w:hAnsi="宋体" w:eastAsia="宋体" w:cs="宋体"/>
          <w:color w:val="000000" w:themeColor="text1"/>
          <w:szCs w:val="24"/>
          <w:lang w:val="zh-CN"/>
          <w14:textFill>
            <w14:solidFill>
              <w14:schemeClr w14:val="tx1"/>
            </w14:solidFill>
          </w14:textFill>
        </w:rPr>
        <w:t>中标人如不按本投标须知规定与招标人订立合同，则</w:t>
      </w:r>
      <w:r>
        <w:rPr>
          <w:rFonts w:hint="eastAsia" w:ascii="宋体" w:hAnsi="宋体" w:eastAsia="宋体" w:cs="宋体"/>
          <w:color w:val="000000" w:themeColor="text1"/>
          <w:szCs w:val="24"/>
          <w14:textFill>
            <w14:solidFill>
              <w14:schemeClr w14:val="tx1"/>
            </w14:solidFill>
          </w14:textFill>
        </w:rPr>
        <w:t>招标人或招标人指定的第三人</w:t>
      </w:r>
      <w:r>
        <w:rPr>
          <w:rFonts w:hint="eastAsia" w:ascii="宋体" w:hAnsi="宋体" w:eastAsia="宋体" w:cs="宋体"/>
          <w:color w:val="000000" w:themeColor="text1"/>
          <w:szCs w:val="24"/>
          <w:lang w:val="zh-CN"/>
          <w14:textFill>
            <w14:solidFill>
              <w14:schemeClr w14:val="tx1"/>
            </w14:solidFill>
          </w14:textFill>
        </w:rPr>
        <w:t>将废除授标，同时依法承担相应法律责任。</w:t>
      </w:r>
    </w:p>
    <w:p w14:paraId="648D2A5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7.3.3 </w:t>
      </w:r>
      <w:r>
        <w:rPr>
          <w:rFonts w:hint="eastAsia" w:ascii="宋体" w:hAnsi="宋体" w:eastAsia="宋体" w:cs="宋体"/>
          <w:color w:val="000000" w:themeColor="text1"/>
          <w:szCs w:val="24"/>
          <w:lang w:val="zh-CN"/>
          <w14:textFill>
            <w14:solidFill>
              <w14:schemeClr w14:val="tx1"/>
            </w14:solidFill>
          </w14:textFill>
        </w:rPr>
        <w:t>中标人应当按照合同约定履行义务，完成中标项目</w:t>
      </w:r>
      <w:r>
        <w:rPr>
          <w:rFonts w:hint="eastAsia" w:ascii="宋体" w:hAnsi="宋体" w:eastAsia="宋体" w:cs="宋体"/>
          <w:color w:val="000000" w:themeColor="text1"/>
          <w:szCs w:val="24"/>
          <w:lang w:val="en-US" w:eastAsia="zh-CN"/>
          <w14:textFill>
            <w14:solidFill>
              <w14:schemeClr w14:val="tx1"/>
            </w14:solidFill>
          </w14:textFill>
        </w:rPr>
        <w:t>服务</w:t>
      </w:r>
      <w:r>
        <w:rPr>
          <w:rFonts w:hint="eastAsia" w:ascii="宋体" w:hAnsi="宋体" w:eastAsia="宋体" w:cs="宋体"/>
          <w:color w:val="000000" w:themeColor="text1"/>
          <w:szCs w:val="24"/>
          <w:lang w:val="zh-CN"/>
          <w14:textFill>
            <w14:solidFill>
              <w14:schemeClr w14:val="tx1"/>
            </w14:solidFill>
          </w14:textFill>
        </w:rPr>
        <w:t>，不得将中标项目</w:t>
      </w:r>
      <w:r>
        <w:rPr>
          <w:rFonts w:hint="eastAsia" w:ascii="宋体" w:hAnsi="宋体" w:eastAsia="宋体" w:cs="宋体"/>
          <w:color w:val="000000" w:themeColor="text1"/>
          <w:szCs w:val="24"/>
          <w:lang w:val="en-US" w:eastAsia="zh-CN"/>
          <w14:textFill>
            <w14:solidFill>
              <w14:schemeClr w14:val="tx1"/>
            </w14:solidFill>
          </w14:textFill>
        </w:rPr>
        <w:t>服务</w:t>
      </w:r>
      <w:r>
        <w:rPr>
          <w:rFonts w:hint="eastAsia" w:ascii="宋体" w:hAnsi="宋体" w:eastAsia="宋体" w:cs="宋体"/>
          <w:color w:val="000000" w:themeColor="text1"/>
          <w:szCs w:val="24"/>
          <w:lang w:val="zh-CN"/>
          <w14:textFill>
            <w14:solidFill>
              <w14:schemeClr w14:val="tx1"/>
            </w14:solidFill>
          </w14:textFill>
        </w:rPr>
        <w:t>转包、</w:t>
      </w:r>
      <w:r>
        <w:rPr>
          <w:rFonts w:hint="eastAsia" w:ascii="宋体" w:hAnsi="宋体" w:eastAsia="宋体" w:cs="宋体"/>
          <w:color w:val="000000" w:themeColor="text1"/>
          <w:szCs w:val="24"/>
          <w14:textFill>
            <w14:solidFill>
              <w14:schemeClr w14:val="tx1"/>
            </w14:solidFill>
          </w14:textFill>
        </w:rPr>
        <w:t>分包</w:t>
      </w:r>
      <w:r>
        <w:rPr>
          <w:rFonts w:hint="eastAsia" w:ascii="宋体" w:hAnsi="宋体" w:eastAsia="宋体" w:cs="宋体"/>
          <w:color w:val="000000" w:themeColor="text1"/>
          <w:szCs w:val="24"/>
          <w:lang w:val="zh-CN"/>
          <w14:textFill>
            <w14:solidFill>
              <w14:schemeClr w14:val="tx1"/>
            </w14:solidFill>
          </w14:textFill>
        </w:rPr>
        <w:t>给他人。</w:t>
      </w:r>
    </w:p>
    <w:p w14:paraId="232EB28A">
      <w:pPr>
        <w:rPr>
          <w:rFonts w:ascii="宋体" w:hAnsi="宋体" w:eastAsia="宋体" w:cs="宋体"/>
          <w:color w:val="000000" w:themeColor="text1"/>
          <w14:textFill>
            <w14:solidFill>
              <w14:schemeClr w14:val="tx1"/>
            </w14:solidFill>
          </w14:textFill>
        </w:rPr>
      </w:pPr>
    </w:p>
    <w:p w14:paraId="176E4DEF">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77" w:name="_Toc136173604"/>
      <w:bookmarkStart w:id="278" w:name="_Toc296602461"/>
      <w:bookmarkStart w:id="279" w:name="_Toc19151"/>
      <w:r>
        <w:rPr>
          <w:rFonts w:hint="eastAsia" w:ascii="宋体" w:hAnsi="宋体" w:cs="宋体"/>
          <w:color w:val="000000" w:themeColor="text1"/>
          <w:sz w:val="24"/>
          <w:szCs w:val="24"/>
          <w14:textFill>
            <w14:solidFill>
              <w14:schemeClr w14:val="tx1"/>
            </w14:solidFill>
          </w14:textFill>
        </w:rPr>
        <w:t>8. 纪律和监督</w:t>
      </w:r>
      <w:bookmarkEnd w:id="277"/>
      <w:bookmarkEnd w:id="278"/>
      <w:bookmarkEnd w:id="279"/>
    </w:p>
    <w:p w14:paraId="4C220A0A">
      <w:pPr>
        <w:spacing w:line="360" w:lineRule="auto"/>
        <w:outlineLvl w:val="2"/>
        <w:rPr>
          <w:rFonts w:ascii="宋体" w:hAnsi="宋体" w:eastAsia="宋体" w:cs="宋体"/>
          <w:b/>
          <w:bCs/>
          <w:color w:val="000000" w:themeColor="text1"/>
          <w:szCs w:val="24"/>
          <w14:textFill>
            <w14:solidFill>
              <w14:schemeClr w14:val="tx1"/>
            </w14:solidFill>
          </w14:textFill>
        </w:rPr>
      </w:pPr>
      <w:bookmarkStart w:id="280" w:name="_Toc152042351"/>
      <w:bookmarkStart w:id="281" w:name="_Toc136173605"/>
      <w:bookmarkStart w:id="282" w:name="_Toc296602462"/>
      <w:bookmarkStart w:id="283" w:name="_Toc144974543"/>
      <w:bookmarkStart w:id="284" w:name="_Toc179632593"/>
      <w:bookmarkStart w:id="285" w:name="_Toc296590983"/>
      <w:bookmarkStart w:id="286" w:name="_Toc20718"/>
      <w:bookmarkStart w:id="287" w:name="_Toc152045575"/>
      <w:bookmarkStart w:id="288" w:name="_Toc247085733"/>
      <w:bookmarkStart w:id="289" w:name="_Toc246996962"/>
      <w:bookmarkStart w:id="290" w:name="_Toc246996219"/>
      <w:r>
        <w:rPr>
          <w:rFonts w:hint="eastAsia" w:ascii="宋体" w:hAnsi="宋体" w:eastAsia="宋体" w:cs="宋体"/>
          <w:b/>
          <w:bCs/>
          <w:color w:val="000000" w:themeColor="text1"/>
          <w:szCs w:val="24"/>
          <w14:textFill>
            <w14:solidFill>
              <w14:schemeClr w14:val="tx1"/>
            </w14:solidFill>
          </w14:textFill>
        </w:rPr>
        <w:t>8.1 对招标人的纪律要求</w:t>
      </w:r>
      <w:bookmarkEnd w:id="280"/>
      <w:bookmarkEnd w:id="281"/>
      <w:bookmarkEnd w:id="282"/>
      <w:bookmarkEnd w:id="283"/>
      <w:bookmarkEnd w:id="284"/>
      <w:bookmarkEnd w:id="285"/>
      <w:bookmarkEnd w:id="286"/>
      <w:bookmarkEnd w:id="287"/>
      <w:bookmarkEnd w:id="288"/>
      <w:bookmarkEnd w:id="289"/>
      <w:bookmarkEnd w:id="290"/>
    </w:p>
    <w:p w14:paraId="4D4C1870">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招标人不得泄漏招标投标活动中应当保密的情况和资料，不得与投标人串通损害国家利益、社会公共利益或者他人合法权益。</w:t>
      </w:r>
    </w:p>
    <w:p w14:paraId="206A49F8">
      <w:pPr>
        <w:spacing w:line="360" w:lineRule="auto"/>
        <w:outlineLvl w:val="2"/>
        <w:rPr>
          <w:rFonts w:ascii="宋体" w:hAnsi="宋体" w:eastAsia="宋体" w:cs="宋体"/>
          <w:b/>
          <w:bCs/>
          <w:color w:val="000000" w:themeColor="text1"/>
          <w:szCs w:val="24"/>
          <w14:textFill>
            <w14:solidFill>
              <w14:schemeClr w14:val="tx1"/>
            </w14:solidFill>
          </w14:textFill>
        </w:rPr>
      </w:pPr>
      <w:bookmarkStart w:id="291" w:name="_Toc144974544"/>
      <w:bookmarkStart w:id="292" w:name="_Toc662"/>
      <w:bookmarkStart w:id="293" w:name="_Toc246996220"/>
      <w:bookmarkStart w:id="294" w:name="_Toc152042352"/>
      <w:bookmarkStart w:id="295" w:name="_Toc246996963"/>
      <w:bookmarkStart w:id="296" w:name="_Toc136173606"/>
      <w:bookmarkStart w:id="297" w:name="_Toc296602463"/>
      <w:bookmarkStart w:id="298" w:name="_Toc179632594"/>
      <w:bookmarkStart w:id="299" w:name="_Toc152045576"/>
      <w:bookmarkStart w:id="300" w:name="_Toc247085734"/>
      <w:r>
        <w:rPr>
          <w:rFonts w:hint="eastAsia" w:ascii="宋体" w:hAnsi="宋体" w:eastAsia="宋体" w:cs="宋体"/>
          <w:b/>
          <w:bCs/>
          <w:color w:val="000000" w:themeColor="text1"/>
          <w:szCs w:val="24"/>
          <w14:textFill>
            <w14:solidFill>
              <w14:schemeClr w14:val="tx1"/>
            </w14:solidFill>
          </w14:textFill>
        </w:rPr>
        <w:t>8.2 对投标人的纪律要求</w:t>
      </w:r>
      <w:bookmarkEnd w:id="291"/>
      <w:bookmarkEnd w:id="292"/>
      <w:bookmarkEnd w:id="293"/>
      <w:bookmarkEnd w:id="294"/>
      <w:bookmarkEnd w:id="295"/>
      <w:bookmarkEnd w:id="296"/>
      <w:bookmarkEnd w:id="297"/>
      <w:bookmarkEnd w:id="298"/>
      <w:bookmarkEnd w:id="299"/>
      <w:bookmarkEnd w:id="300"/>
    </w:p>
    <w:p w14:paraId="49AB011A">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65AFF3">
      <w:pPr>
        <w:spacing w:line="360" w:lineRule="auto"/>
        <w:outlineLvl w:val="2"/>
        <w:rPr>
          <w:rFonts w:ascii="宋体" w:hAnsi="宋体" w:eastAsia="宋体" w:cs="宋体"/>
          <w:b/>
          <w:bCs/>
          <w:color w:val="000000" w:themeColor="text1"/>
          <w:szCs w:val="24"/>
          <w14:textFill>
            <w14:solidFill>
              <w14:schemeClr w14:val="tx1"/>
            </w14:solidFill>
          </w14:textFill>
        </w:rPr>
      </w:pPr>
      <w:bookmarkStart w:id="301" w:name="_Toc179632595"/>
      <w:bookmarkStart w:id="302" w:name="_Toc144974545"/>
      <w:bookmarkStart w:id="303" w:name="_Toc246996964"/>
      <w:bookmarkStart w:id="304" w:name="_Toc152042353"/>
      <w:bookmarkStart w:id="305" w:name="_Toc246996221"/>
      <w:bookmarkStart w:id="306" w:name="_Toc296602464"/>
      <w:bookmarkStart w:id="307" w:name="_Toc8703"/>
      <w:bookmarkStart w:id="308" w:name="_Toc152045577"/>
      <w:bookmarkStart w:id="309" w:name="_Toc136173607"/>
      <w:bookmarkStart w:id="310" w:name="_Toc247085735"/>
      <w:r>
        <w:rPr>
          <w:rFonts w:hint="eastAsia" w:ascii="宋体" w:hAnsi="宋体" w:eastAsia="宋体" w:cs="宋体"/>
          <w:b/>
          <w:bCs/>
          <w:color w:val="000000" w:themeColor="text1"/>
          <w:szCs w:val="24"/>
          <w14:textFill>
            <w14:solidFill>
              <w14:schemeClr w14:val="tx1"/>
            </w14:solidFill>
          </w14:textFill>
        </w:rPr>
        <w:t>8.3 对评标委员会成员的纪律要求</w:t>
      </w:r>
      <w:bookmarkEnd w:id="301"/>
      <w:bookmarkEnd w:id="302"/>
      <w:bookmarkEnd w:id="303"/>
      <w:bookmarkEnd w:id="304"/>
      <w:bookmarkEnd w:id="305"/>
      <w:bookmarkEnd w:id="306"/>
      <w:bookmarkEnd w:id="307"/>
      <w:bookmarkEnd w:id="308"/>
      <w:bookmarkEnd w:id="309"/>
      <w:bookmarkEnd w:id="310"/>
    </w:p>
    <w:p w14:paraId="359739B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8230623">
      <w:pPr>
        <w:spacing w:line="360" w:lineRule="auto"/>
        <w:outlineLvl w:val="2"/>
        <w:rPr>
          <w:rFonts w:ascii="宋体" w:hAnsi="宋体" w:eastAsia="宋体" w:cs="宋体"/>
          <w:b/>
          <w:bCs/>
          <w:color w:val="000000" w:themeColor="text1"/>
          <w:szCs w:val="24"/>
          <w14:textFill>
            <w14:solidFill>
              <w14:schemeClr w14:val="tx1"/>
            </w14:solidFill>
          </w14:textFill>
        </w:rPr>
      </w:pPr>
      <w:bookmarkStart w:id="311" w:name="_Toc152042354"/>
      <w:bookmarkStart w:id="312" w:name="_Toc152045578"/>
      <w:bookmarkStart w:id="313" w:name="_Toc179632596"/>
      <w:bookmarkStart w:id="314" w:name="_Toc246996965"/>
      <w:bookmarkStart w:id="315" w:name="_Toc25942"/>
      <w:bookmarkStart w:id="316" w:name="_Toc246996222"/>
      <w:bookmarkStart w:id="317" w:name="_Toc247085736"/>
      <w:bookmarkStart w:id="318" w:name="_Toc136173608"/>
      <w:bookmarkStart w:id="319" w:name="_Toc296602465"/>
      <w:bookmarkStart w:id="320" w:name="_Toc144974546"/>
      <w:r>
        <w:rPr>
          <w:rFonts w:hint="eastAsia" w:ascii="宋体" w:hAnsi="宋体" w:eastAsia="宋体" w:cs="宋体"/>
          <w:b/>
          <w:bCs/>
          <w:color w:val="000000" w:themeColor="text1"/>
          <w:szCs w:val="24"/>
          <w14:textFill>
            <w14:solidFill>
              <w14:schemeClr w14:val="tx1"/>
            </w14:solidFill>
          </w14:textFill>
        </w:rPr>
        <w:t>8.4 对与评标活动有关的工作人员的纪律要求</w:t>
      </w:r>
      <w:bookmarkEnd w:id="311"/>
      <w:bookmarkEnd w:id="312"/>
      <w:bookmarkEnd w:id="313"/>
      <w:bookmarkEnd w:id="314"/>
      <w:bookmarkEnd w:id="315"/>
      <w:bookmarkEnd w:id="316"/>
      <w:bookmarkEnd w:id="317"/>
      <w:bookmarkEnd w:id="318"/>
      <w:bookmarkEnd w:id="319"/>
    </w:p>
    <w:p w14:paraId="2D8A4F7B">
      <w:pPr>
        <w:spacing w:line="360" w:lineRule="auto"/>
        <w:ind w:firstLine="480" w:firstLineChars="200"/>
        <w:rPr>
          <w:rFonts w:ascii="宋体" w:hAnsi="宋体" w:eastAsia="宋体" w:cs="宋体"/>
          <w:color w:val="000000" w:themeColor="text1"/>
          <w:szCs w:val="24"/>
          <w14:textFill>
            <w14:solidFill>
              <w14:schemeClr w14:val="tx1"/>
            </w14:solidFill>
          </w14:textFill>
        </w:rPr>
      </w:pPr>
      <w:bookmarkStart w:id="321" w:name="_Toc152042355"/>
      <w:r>
        <w:rPr>
          <w:rFonts w:hint="eastAsia" w:ascii="宋体" w:hAnsi="宋体" w:eastAsia="宋体" w:cs="宋体"/>
          <w:color w:val="000000" w:themeColor="text1"/>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1"/>
    </w:p>
    <w:p w14:paraId="7A4FB52F">
      <w:pPr>
        <w:spacing w:line="360" w:lineRule="auto"/>
        <w:outlineLvl w:val="2"/>
        <w:rPr>
          <w:rFonts w:ascii="宋体" w:hAnsi="宋体" w:eastAsia="宋体" w:cs="宋体"/>
          <w:b/>
          <w:bCs/>
          <w:color w:val="000000" w:themeColor="text1"/>
          <w:szCs w:val="24"/>
          <w14:textFill>
            <w14:solidFill>
              <w14:schemeClr w14:val="tx1"/>
            </w14:solidFill>
          </w14:textFill>
        </w:rPr>
      </w:pPr>
      <w:bookmarkStart w:id="322" w:name="_Toc246996223"/>
      <w:bookmarkStart w:id="323" w:name="_Toc14991"/>
      <w:bookmarkStart w:id="324" w:name="_Toc247085737"/>
      <w:bookmarkStart w:id="325" w:name="_Toc246996966"/>
      <w:bookmarkStart w:id="326" w:name="_Toc152042356"/>
      <w:bookmarkStart w:id="327" w:name="_Toc136173609"/>
      <w:bookmarkStart w:id="328" w:name="_Toc296602466"/>
      <w:bookmarkStart w:id="329" w:name="_Toc152045579"/>
      <w:bookmarkStart w:id="330" w:name="_Toc179632597"/>
      <w:r>
        <w:rPr>
          <w:rFonts w:hint="eastAsia" w:ascii="宋体" w:hAnsi="宋体" w:eastAsia="宋体" w:cs="宋体"/>
          <w:b/>
          <w:bCs/>
          <w:color w:val="000000" w:themeColor="text1"/>
          <w:szCs w:val="24"/>
          <w14:textFill>
            <w14:solidFill>
              <w14:schemeClr w14:val="tx1"/>
            </w14:solidFill>
          </w14:textFill>
        </w:rPr>
        <w:t>8.5 投诉</w:t>
      </w:r>
      <w:bookmarkEnd w:id="320"/>
      <w:bookmarkEnd w:id="322"/>
      <w:bookmarkEnd w:id="323"/>
      <w:bookmarkEnd w:id="324"/>
      <w:bookmarkEnd w:id="325"/>
      <w:bookmarkEnd w:id="326"/>
      <w:bookmarkEnd w:id="327"/>
      <w:bookmarkEnd w:id="328"/>
      <w:bookmarkEnd w:id="329"/>
      <w:bookmarkEnd w:id="330"/>
    </w:p>
    <w:p w14:paraId="789DC795">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投标人和其他利害关系人认为本次招标活动违反法律、法规和规章规定的，有权向有关行政监督部门投诉。</w:t>
      </w:r>
    </w:p>
    <w:p w14:paraId="0E19F0BE">
      <w:pPr>
        <w:autoSpaceDE w:val="0"/>
        <w:autoSpaceDN w:val="0"/>
        <w:adjustRightInd w:val="0"/>
        <w:spacing w:line="360" w:lineRule="auto"/>
        <w:ind w:left="567"/>
        <w:jc w:val="left"/>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审计监察部 邹部长：18688776739， 总裁办杨雪：13728677556</w:t>
      </w:r>
    </w:p>
    <w:p w14:paraId="6A6A0A5B">
      <w:pPr>
        <w:autoSpaceDE w:val="0"/>
        <w:autoSpaceDN w:val="0"/>
        <w:adjustRightInd w:val="0"/>
        <w:spacing w:line="360" w:lineRule="auto"/>
        <w:ind w:left="567"/>
        <w:jc w:val="left"/>
        <w:rPr>
          <w:rFonts w:ascii="宋体" w:hAnsi="宋体" w:eastAsia="宋体" w:cs="宋体"/>
          <w:color w:val="000000" w:themeColor="text1"/>
          <w:szCs w:val="24"/>
          <w14:textFill>
            <w14:solidFill>
              <w14:schemeClr w14:val="tx1"/>
            </w14:solidFill>
          </w14:textFill>
        </w:rPr>
      </w:pPr>
    </w:p>
    <w:p w14:paraId="4C2D90A2">
      <w:pPr>
        <w:autoSpaceDE w:val="0"/>
        <w:autoSpaceDN w:val="0"/>
        <w:adjustRightInd w:val="0"/>
        <w:spacing w:before="120" w:beforeLines="50" w:after="120" w:afterLines="50"/>
        <w:ind w:left="567"/>
        <w:jc w:val="left"/>
        <w:rPr>
          <w:rFonts w:ascii="宋体" w:hAnsi="宋体" w:eastAsia="宋体" w:cs="宋体"/>
          <w:color w:val="000000" w:themeColor="text1"/>
          <w:szCs w:val="24"/>
          <w14:textFill>
            <w14:solidFill>
              <w14:schemeClr w14:val="tx1"/>
            </w14:solidFill>
          </w14:textFill>
        </w:rPr>
      </w:pPr>
    </w:p>
    <w:p w14:paraId="0FEF356A">
      <w:pPr>
        <w:pStyle w:val="2"/>
        <w:spacing w:before="120" w:beforeLines="50" w:after="120" w:afterLines="50"/>
        <w:ind w:left="1066"/>
        <w:rPr>
          <w:rFonts w:ascii="宋体" w:hAnsi="宋体" w:eastAsia="宋体" w:cs="宋体"/>
          <w:color w:val="000000" w:themeColor="text1"/>
          <w:sz w:val="32"/>
          <w:szCs w:val="32"/>
          <w14:textFill>
            <w14:solidFill>
              <w14:schemeClr w14:val="tx1"/>
            </w14:solidFill>
          </w14:textFill>
        </w:rPr>
      </w:pPr>
      <w:bookmarkStart w:id="331" w:name="_Toc4437"/>
      <w:bookmarkStart w:id="332" w:name="_Toc136173610"/>
      <w:r>
        <w:rPr>
          <w:rFonts w:hint="eastAsia" w:ascii="宋体" w:hAnsi="宋体" w:eastAsia="宋体" w:cs="宋体"/>
          <w:color w:val="000000" w:themeColor="text1"/>
          <w:sz w:val="32"/>
          <w:szCs w:val="32"/>
          <w14:textFill>
            <w14:solidFill>
              <w14:schemeClr w14:val="tx1"/>
            </w14:solidFill>
          </w14:textFill>
        </w:rPr>
        <w:t>第三章 评标办法（综合评估法）</w:t>
      </w:r>
      <w:bookmarkEnd w:id="331"/>
      <w:bookmarkEnd w:id="332"/>
    </w:p>
    <w:p w14:paraId="301D3F1A">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3" w:name="_Toc11549"/>
      <w:bookmarkStart w:id="334" w:name="_Toc136173611"/>
      <w:r>
        <w:rPr>
          <w:rFonts w:hint="eastAsia" w:ascii="宋体" w:hAnsi="宋体" w:eastAsia="宋体" w:cs="宋体"/>
          <w:b/>
          <w:color w:val="000000" w:themeColor="text1"/>
          <w:szCs w:val="24"/>
          <w14:textFill>
            <w14:solidFill>
              <w14:schemeClr w14:val="tx1"/>
            </w14:solidFill>
          </w14:textFill>
        </w:rPr>
        <w:t>1.评标方法</w:t>
      </w:r>
      <w:bookmarkEnd w:id="333"/>
      <w:bookmarkEnd w:id="334"/>
    </w:p>
    <w:p w14:paraId="57BA3674">
      <w:pPr>
        <w:spacing w:before="50" w:after="50"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评标采用综合评估法。评标委员会对满足招标文件实质性要求的投标文件，按照评分标准进行打分，并按得分由高到低顺序推荐中标候选人，但投标报价低于其成本的除外。综合评分相等时，以投标报价低的优先；投标报价也相等的，以技术得分高的优先。</w:t>
      </w:r>
    </w:p>
    <w:p w14:paraId="13BB9550">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5" w:name="_Toc136173612"/>
      <w:bookmarkStart w:id="336" w:name="_Toc20265"/>
      <w:r>
        <w:rPr>
          <w:rFonts w:hint="eastAsia" w:ascii="宋体" w:hAnsi="宋体" w:eastAsia="宋体" w:cs="宋体"/>
          <w:b/>
          <w:color w:val="000000" w:themeColor="text1"/>
          <w:szCs w:val="24"/>
          <w14:textFill>
            <w14:solidFill>
              <w14:schemeClr w14:val="tx1"/>
            </w14:solidFill>
          </w14:textFill>
        </w:rPr>
        <w:t>2.投标文件的初审和响应性的规定</w:t>
      </w:r>
      <w:bookmarkEnd w:id="335"/>
      <w:bookmarkEnd w:id="336"/>
    </w:p>
    <w:p w14:paraId="6E435396">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 开标后，评标委员会将审查投标人是否符合合格投标人的资格；投标文件是否完整；是否有计算错误；</w:t>
      </w:r>
      <w:r>
        <w:rPr>
          <w:rFonts w:hint="eastAsia" w:ascii="宋体" w:hAnsi="宋体" w:eastAsia="宋体" w:cs="宋体"/>
          <w:color w:val="000000" w:themeColor="text1"/>
          <w:szCs w:val="24"/>
          <w14:textFill>
            <w14:solidFill>
              <w14:schemeClr w14:val="tx1"/>
            </w14:solidFill>
          </w14:textFill>
        </w:rPr>
        <w:t>投标</w:t>
      </w:r>
      <w:r>
        <w:rPr>
          <w:rFonts w:hint="eastAsia" w:ascii="宋体" w:hAnsi="宋体" w:eastAsia="宋体" w:cs="宋体"/>
          <w:color w:val="000000" w:themeColor="text1"/>
          <w:szCs w:val="24"/>
          <w:lang w:val="zh-CN"/>
          <w14:textFill>
            <w14:solidFill>
              <w14:schemeClr w14:val="tx1"/>
            </w14:solidFill>
          </w14:textFill>
        </w:rPr>
        <w:t>文件是否恰当签署。投标文件中的大写金额与小写金额不一致的，以大写金额为准；总价金额与单价金额不一致的，以单价金额为准，但单价金额小数点有明显错误的除外；投标报价为各分项报价金额之和，投标报价与分项报价的合价不一致的，应以各分项合价累计数为准，修正投标报价；如果分项报价中存在缺漏项，则视为缺漏项价格已包含在其他分项报价之中。</w:t>
      </w:r>
    </w:p>
    <w:p w14:paraId="10A116A4">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.2 在对投标文件进行详细评估之前，评标委员会将确认每一个投标人是否对招标文件的要求作出了实质性的响应，且没有重大偏离。实质性响应的投标是指投标符合招标文件的所有条款、条件和规定且没有重大偏离或保留。</w:t>
      </w:r>
    </w:p>
    <w:p w14:paraId="6B7455C2">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.3 重大偏离或保留系指影响到招标文件规定的</w:t>
      </w:r>
      <w:r>
        <w:rPr>
          <w:rFonts w:hint="eastAsia" w:ascii="宋体" w:hAnsi="宋体" w:eastAsia="宋体" w:cs="宋体"/>
          <w:color w:val="000000" w:themeColor="text1"/>
          <w:szCs w:val="24"/>
          <w:lang w:val="en-US" w:eastAsia="zh-CN"/>
          <w14:textFill>
            <w14:solidFill>
              <w14:schemeClr w14:val="tx1"/>
            </w14:solidFill>
          </w14:textFill>
        </w:rPr>
        <w:t>服务</w:t>
      </w:r>
      <w:r>
        <w:rPr>
          <w:rFonts w:hint="eastAsia" w:ascii="宋体" w:hAnsi="宋体" w:eastAsia="宋体" w:cs="宋体"/>
          <w:color w:val="000000" w:themeColor="text1"/>
          <w:szCs w:val="24"/>
          <w:lang w:val="zh-CN"/>
          <w14:textFill>
            <w14:solidFill>
              <w14:schemeClr w14:val="tx1"/>
            </w14:solidFill>
          </w14:textFill>
        </w:rPr>
        <w:t>范围、质量和性能或限制了招标人的权力和投标人的义务，而纠正这些偏离将影响到其他提交实质性响应投标的投标人公平竞争地位。</w:t>
      </w:r>
    </w:p>
    <w:p w14:paraId="0E536690">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 xml:space="preserve">招标人有权拒绝被确定为非实质性响应的投标，投标人不能通过修正或撤销不符之处而使其投标成为实质性响应的投标。   </w:t>
      </w:r>
    </w:p>
    <w:p w14:paraId="139DCE58">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5 </w:t>
      </w:r>
      <w:r>
        <w:rPr>
          <w:rFonts w:hint="eastAsia" w:ascii="宋体" w:hAnsi="宋体" w:eastAsia="宋体" w:cs="宋体"/>
          <w:color w:val="000000" w:themeColor="text1"/>
          <w:szCs w:val="24"/>
          <w:lang w:val="zh-CN"/>
          <w14:textFill>
            <w14:solidFill>
              <w14:schemeClr w14:val="tx1"/>
            </w14:solidFill>
          </w14:textFill>
        </w:rPr>
        <w:t>评标委员会将对下表所列各项进行审查，所有项目均须满足要求，如有任意一项或以上不满足要求，则初步审查不通过。</w:t>
      </w:r>
    </w:p>
    <w:p w14:paraId="0CFC62B7">
      <w:pPr>
        <w:spacing w:before="120" w:line="460" w:lineRule="exact"/>
        <w:rPr>
          <w:rFonts w:ascii="宋体" w:hAnsi="宋体" w:eastAsia="宋体" w:cs="宋体"/>
          <w:color w:val="000000" w:themeColor="text1"/>
          <w:szCs w:val="24"/>
          <w:lang w:val="zh-CN"/>
          <w14:textFill>
            <w14:solidFill>
              <w14:schemeClr w14:val="tx1"/>
            </w14:solidFill>
          </w14:textFill>
        </w:rPr>
      </w:pPr>
    </w:p>
    <w:p w14:paraId="007F11EE">
      <w:pPr>
        <w:spacing w:before="120" w:line="460" w:lineRule="exact"/>
        <w:rPr>
          <w:rFonts w:ascii="宋体" w:hAnsi="宋体" w:eastAsia="宋体" w:cs="宋体"/>
          <w:color w:val="000000" w:themeColor="text1"/>
          <w:szCs w:val="24"/>
          <w:lang w:val="zh-CN"/>
          <w14:textFill>
            <w14:solidFill>
              <w14:schemeClr w14:val="tx1"/>
            </w14:solidFill>
          </w14:textFill>
        </w:rPr>
      </w:pPr>
    </w:p>
    <w:p w14:paraId="0EB63AFF">
      <w:pPr>
        <w:spacing w:before="120" w:line="460" w:lineRule="exact"/>
        <w:rPr>
          <w:rFonts w:ascii="宋体" w:hAnsi="宋体" w:eastAsia="宋体" w:cs="宋体"/>
          <w:color w:val="000000" w:themeColor="text1"/>
          <w:szCs w:val="24"/>
          <w:lang w:val="zh-CN"/>
          <w14:textFill>
            <w14:solidFill>
              <w14:schemeClr w14:val="tx1"/>
            </w14:solidFill>
          </w14:textFill>
        </w:rPr>
      </w:pPr>
    </w:p>
    <w:p w14:paraId="559AC708">
      <w:pPr>
        <w:pStyle w:val="18"/>
        <w:rPr>
          <w:rFonts w:cs="宋体"/>
          <w:b/>
          <w:color w:val="000000" w:themeColor="text1"/>
          <w:szCs w:val="24"/>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p>
    <w:p w14:paraId="3BEA0DCC">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7" w:name="_Toc136173613"/>
      <w:bookmarkStart w:id="338" w:name="_Toc18380"/>
      <w:r>
        <w:rPr>
          <w:rFonts w:hint="eastAsia" w:ascii="宋体" w:hAnsi="宋体" w:eastAsia="宋体" w:cs="宋体"/>
          <w:b/>
          <w:color w:val="000000" w:themeColor="text1"/>
          <w:szCs w:val="24"/>
          <w14:textFill>
            <w14:solidFill>
              <w14:schemeClr w14:val="tx1"/>
            </w14:solidFill>
          </w14:textFill>
        </w:rPr>
        <w:t>3.初步评审</w:t>
      </w:r>
      <w:bookmarkEnd w:id="337"/>
      <w:bookmarkEnd w:id="338"/>
    </w:p>
    <w:tbl>
      <w:tblPr>
        <w:tblStyle w:val="48"/>
        <w:tblW w:w="93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1440"/>
        <w:gridCol w:w="2446"/>
        <w:gridCol w:w="5443"/>
      </w:tblGrid>
      <w:tr w14:paraId="7E2CF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27" w:hRule="atLeast"/>
        </w:trPr>
        <w:tc>
          <w:tcPr>
            <w:tcW w:w="1440" w:type="dxa"/>
            <w:tcBorders>
              <w:tl2br w:val="nil"/>
              <w:tr2bl w:val="nil"/>
            </w:tcBorders>
            <w:vAlign w:val="center"/>
          </w:tcPr>
          <w:p w14:paraId="7E4932A0">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446" w:type="dxa"/>
            <w:tcBorders>
              <w:tl2br w:val="nil"/>
              <w:tr2bl w:val="nil"/>
            </w:tcBorders>
            <w:vAlign w:val="center"/>
          </w:tcPr>
          <w:p w14:paraId="5560FBD3">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审查项目</w:t>
            </w:r>
          </w:p>
        </w:tc>
        <w:tc>
          <w:tcPr>
            <w:tcW w:w="5443" w:type="dxa"/>
            <w:tcBorders>
              <w:tl2br w:val="nil"/>
              <w:tr2bl w:val="nil"/>
            </w:tcBorders>
            <w:vAlign w:val="center"/>
          </w:tcPr>
          <w:p w14:paraId="6DAFAC1E">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  求</w:t>
            </w:r>
          </w:p>
        </w:tc>
      </w:tr>
      <w:tr w14:paraId="2B3A6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64" w:hRule="atLeast"/>
        </w:trPr>
        <w:tc>
          <w:tcPr>
            <w:tcW w:w="1440" w:type="dxa"/>
            <w:vMerge w:val="restart"/>
            <w:tcBorders>
              <w:tl2br w:val="nil"/>
              <w:tr2bl w:val="nil"/>
            </w:tcBorders>
            <w:vAlign w:val="center"/>
          </w:tcPr>
          <w:p w14:paraId="146CAFA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符合性审查</w:t>
            </w:r>
          </w:p>
        </w:tc>
        <w:tc>
          <w:tcPr>
            <w:tcW w:w="2446" w:type="dxa"/>
            <w:tcBorders>
              <w:tl2br w:val="nil"/>
              <w:tr2bl w:val="nil"/>
            </w:tcBorders>
            <w:vAlign w:val="center"/>
          </w:tcPr>
          <w:p w14:paraId="5E79BEE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投标文件有效性</w:t>
            </w:r>
          </w:p>
        </w:tc>
        <w:tc>
          <w:tcPr>
            <w:tcW w:w="5443" w:type="dxa"/>
            <w:tcBorders>
              <w:tl2br w:val="nil"/>
              <w:tr2bl w:val="nil"/>
            </w:tcBorders>
            <w:vAlign w:val="center"/>
          </w:tcPr>
          <w:p w14:paraId="617F76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投标文件的签字、盖章是否有效</w:t>
            </w:r>
          </w:p>
        </w:tc>
      </w:tr>
      <w:tr w14:paraId="769C5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1440" w:type="dxa"/>
            <w:vMerge w:val="continue"/>
            <w:tcBorders>
              <w:tl2br w:val="nil"/>
              <w:tr2bl w:val="nil"/>
            </w:tcBorders>
            <w:vAlign w:val="center"/>
          </w:tcPr>
          <w:p w14:paraId="71460E0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3AB8B4EE">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443" w:type="dxa"/>
            <w:tcBorders>
              <w:tl2br w:val="nil"/>
              <w:tr2bl w:val="nil"/>
            </w:tcBorders>
            <w:vAlign w:val="center"/>
          </w:tcPr>
          <w:p w14:paraId="35AFA65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是否符合标书规定</w:t>
            </w:r>
          </w:p>
        </w:tc>
      </w:tr>
      <w:tr w14:paraId="0D979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330" w:hRule="atLeast"/>
        </w:trPr>
        <w:tc>
          <w:tcPr>
            <w:tcW w:w="1440" w:type="dxa"/>
            <w:vMerge w:val="restart"/>
            <w:tcBorders>
              <w:tl2br w:val="nil"/>
              <w:tr2bl w:val="nil"/>
            </w:tcBorders>
            <w:vAlign w:val="center"/>
          </w:tcPr>
          <w:p w14:paraId="7709878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w:t>
            </w:r>
          </w:p>
        </w:tc>
        <w:tc>
          <w:tcPr>
            <w:tcW w:w="2446" w:type="dxa"/>
            <w:tcBorders>
              <w:tl2br w:val="nil"/>
              <w:tr2bl w:val="nil"/>
            </w:tcBorders>
            <w:vAlign w:val="center"/>
          </w:tcPr>
          <w:p w14:paraId="1C2D58A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法人授权委托书（原件）</w:t>
            </w:r>
          </w:p>
        </w:tc>
        <w:tc>
          <w:tcPr>
            <w:tcW w:w="5443" w:type="dxa"/>
            <w:tcBorders>
              <w:tl2br w:val="nil"/>
              <w:tr2bl w:val="nil"/>
            </w:tcBorders>
            <w:vAlign w:val="center"/>
          </w:tcPr>
          <w:p w14:paraId="52F8AB1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是否提交，盖章、签字是否有效</w:t>
            </w:r>
          </w:p>
        </w:tc>
      </w:tr>
      <w:tr w14:paraId="798C3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59D06E73">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14698D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投标人营业执照</w:t>
            </w:r>
          </w:p>
          <w:p w14:paraId="499328C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（副本，原件备查）</w:t>
            </w:r>
          </w:p>
        </w:tc>
        <w:tc>
          <w:tcPr>
            <w:tcW w:w="5443" w:type="dxa"/>
            <w:tcBorders>
              <w:tl2br w:val="nil"/>
              <w:tr2bl w:val="nil"/>
            </w:tcBorders>
            <w:vAlign w:val="center"/>
          </w:tcPr>
          <w:p w14:paraId="695F6199">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zh-CN"/>
                <w14:textFill>
                  <w14:solidFill>
                    <w14:schemeClr w14:val="tx1"/>
                  </w14:solidFill>
                </w14:textFill>
              </w:rPr>
              <w:t>为在中华人民共和国依法注册具有独立法人资格、具备独立签订和履行合同能力的企业。</w:t>
            </w:r>
          </w:p>
          <w:p w14:paraId="7077A69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提供有效的营业执照复印件加盖投标人公章。</w:t>
            </w:r>
          </w:p>
        </w:tc>
      </w:tr>
      <w:tr w14:paraId="6BEE8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76E26338">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151A42A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财务报告</w:t>
            </w:r>
          </w:p>
        </w:tc>
        <w:tc>
          <w:tcPr>
            <w:tcW w:w="5443" w:type="dxa"/>
            <w:tcBorders>
              <w:tl2br w:val="nil"/>
              <w:tr2bl w:val="nil"/>
            </w:tcBorders>
            <w:vAlign w:val="center"/>
          </w:tcPr>
          <w:p w14:paraId="58958C24">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人拥有</w:t>
            </w:r>
            <w:r>
              <w:rPr>
                <w:rFonts w:hint="eastAsia" w:ascii="宋体" w:hAnsi="宋体" w:eastAsia="宋体" w:cs="宋体"/>
                <w:color w:val="000000" w:themeColor="text1"/>
                <w:sz w:val="21"/>
                <w:szCs w:val="21"/>
                <w:lang w:val="zh-CN"/>
                <w14:textFill>
                  <w14:solidFill>
                    <w14:schemeClr w14:val="tx1"/>
                  </w14:solidFill>
                </w14:textFill>
              </w:rPr>
              <w:t>健全的财务会计制度。</w:t>
            </w:r>
          </w:p>
          <w:p w14:paraId="02A7E5F1">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提供近三年的经审计的财务报告复印件并加盖投标人公章。</w:t>
            </w:r>
          </w:p>
        </w:tc>
      </w:tr>
      <w:tr w14:paraId="1B1AC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747" w:hRule="atLeast"/>
        </w:trPr>
        <w:tc>
          <w:tcPr>
            <w:tcW w:w="1440" w:type="dxa"/>
            <w:vMerge w:val="continue"/>
            <w:tcBorders>
              <w:tl2br w:val="nil"/>
              <w:tr2bl w:val="nil"/>
            </w:tcBorders>
            <w:vAlign w:val="center"/>
          </w:tcPr>
          <w:p w14:paraId="7FCE8574">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C47A99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投标人资质（副本，原件备查）</w:t>
            </w:r>
          </w:p>
        </w:tc>
        <w:tc>
          <w:tcPr>
            <w:tcW w:w="5443" w:type="dxa"/>
            <w:tcBorders>
              <w:tl2br w:val="nil"/>
              <w:tr2bl w:val="nil"/>
            </w:tcBorders>
            <w:vAlign w:val="center"/>
          </w:tcPr>
          <w:p w14:paraId="051BE8AF">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有相关</w:t>
            </w:r>
            <w:r>
              <w:rPr>
                <w:rFonts w:hint="eastAsia" w:ascii="宋体" w:hAnsi="宋体" w:eastAsia="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的业绩等。</w:t>
            </w:r>
          </w:p>
        </w:tc>
      </w:tr>
      <w:tr w14:paraId="35C01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982" w:hRule="atLeast"/>
        </w:trPr>
        <w:tc>
          <w:tcPr>
            <w:tcW w:w="1440" w:type="dxa"/>
            <w:vMerge w:val="continue"/>
            <w:tcBorders>
              <w:tl2br w:val="nil"/>
              <w:tr2bl w:val="nil"/>
            </w:tcBorders>
            <w:vAlign w:val="center"/>
          </w:tcPr>
          <w:p w14:paraId="44D71C0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86EED9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项目经理资质</w:t>
            </w:r>
          </w:p>
        </w:tc>
        <w:tc>
          <w:tcPr>
            <w:tcW w:w="5443" w:type="dxa"/>
            <w:tcBorders>
              <w:tl2br w:val="nil"/>
              <w:tr2bl w:val="nil"/>
            </w:tcBorders>
            <w:vAlign w:val="center"/>
          </w:tcPr>
          <w:p w14:paraId="608AE3B4">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cs="Arial" w:asciiTheme="minorEastAsia" w:hAnsiTheme="minorEastAsia" w:eastAsiaTheme="minorEastAsia"/>
                <w:color w:val="FF0000"/>
                <w:sz w:val="21"/>
                <w:szCs w:val="21"/>
                <w:lang w:val="zh-CN"/>
              </w:rPr>
              <w:t>近三年内具有至少</w:t>
            </w:r>
            <w:r>
              <w:rPr>
                <w:rFonts w:hint="eastAsia" w:cs="Arial" w:asciiTheme="minorEastAsia" w:hAnsiTheme="minorEastAsia" w:eastAsiaTheme="minorEastAsia"/>
                <w:color w:val="FF0000"/>
                <w:sz w:val="21"/>
                <w:szCs w:val="21"/>
                <w:lang w:val="en-US" w:eastAsia="zh-CN"/>
              </w:rPr>
              <w:t>1</w:t>
            </w:r>
            <w:r>
              <w:rPr>
                <w:rFonts w:cs="Arial" w:asciiTheme="minorEastAsia" w:hAnsiTheme="minorEastAsia" w:eastAsiaTheme="minorEastAsia"/>
                <w:color w:val="FF0000"/>
                <w:sz w:val="21"/>
                <w:szCs w:val="21"/>
                <w:lang w:val="zh-CN"/>
              </w:rPr>
              <w:t>个</w:t>
            </w:r>
            <w:r>
              <w:rPr>
                <w:rFonts w:hint="eastAsia" w:cs="Arial" w:asciiTheme="minorEastAsia" w:hAnsiTheme="minorEastAsia" w:eastAsiaTheme="minorEastAsia"/>
                <w:color w:val="FF0000"/>
                <w:sz w:val="21"/>
                <w:szCs w:val="21"/>
                <w:lang w:val="zh-CN"/>
              </w:rPr>
              <w:t>及</w:t>
            </w:r>
            <w:r>
              <w:rPr>
                <w:rFonts w:cs="Arial" w:asciiTheme="minorEastAsia" w:hAnsiTheme="minorEastAsia" w:eastAsiaTheme="minorEastAsia"/>
                <w:color w:val="FF0000"/>
                <w:sz w:val="21"/>
                <w:szCs w:val="21"/>
                <w:lang w:val="zh-CN"/>
              </w:rPr>
              <w:t>以上业绩</w:t>
            </w:r>
            <w:r>
              <w:rPr>
                <w:rFonts w:hint="eastAsia" w:cs="Arial" w:asciiTheme="minorEastAsia" w:hAnsiTheme="minorEastAsia" w:eastAsiaTheme="minorEastAsia"/>
                <w:color w:val="FF0000"/>
                <w:sz w:val="21"/>
                <w:szCs w:val="21"/>
                <w:lang w:val="zh-CN"/>
              </w:rPr>
              <w:t>项</w:t>
            </w:r>
            <w:r>
              <w:rPr>
                <w:rFonts w:cs="Arial" w:asciiTheme="minorEastAsia" w:hAnsiTheme="minorEastAsia" w:eastAsiaTheme="minorEastAsia"/>
                <w:color w:val="FF0000"/>
                <w:sz w:val="21"/>
                <w:szCs w:val="21"/>
                <w:lang w:val="zh-CN"/>
              </w:rPr>
              <w:t>目经</w:t>
            </w:r>
            <w:r>
              <w:rPr>
                <w:rFonts w:hint="eastAsia" w:cs="Arial" w:asciiTheme="minorEastAsia" w:hAnsiTheme="minorEastAsia" w:eastAsiaTheme="minorEastAsia"/>
                <w:color w:val="FF0000"/>
                <w:sz w:val="21"/>
                <w:szCs w:val="21"/>
                <w:lang w:val="zh-CN"/>
              </w:rPr>
              <w:t>验</w:t>
            </w:r>
            <w:r>
              <w:rPr>
                <w:rFonts w:hint="eastAsia" w:ascii="宋体" w:hAnsi="宋体" w:eastAsia="宋体" w:cs="宋体"/>
                <w:color w:val="FF0000"/>
                <w:sz w:val="21"/>
                <w:szCs w:val="21"/>
                <w:lang w:val="zh-CN"/>
              </w:rPr>
              <w:t>且在投标单位注册并缴纳社保（需要提供社保证明材料）。</w:t>
            </w:r>
          </w:p>
        </w:tc>
      </w:tr>
      <w:tr w14:paraId="2A22B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015" w:hRule="atLeast"/>
        </w:trPr>
        <w:tc>
          <w:tcPr>
            <w:tcW w:w="1440" w:type="dxa"/>
            <w:vMerge w:val="continue"/>
            <w:tcBorders>
              <w:tl2br w:val="nil"/>
              <w:tr2bl w:val="nil"/>
            </w:tcBorders>
            <w:vAlign w:val="center"/>
          </w:tcPr>
          <w:p w14:paraId="0AFC1F95">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D2C699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业绩（合同原件备查）</w:t>
            </w:r>
          </w:p>
        </w:tc>
        <w:tc>
          <w:tcPr>
            <w:tcW w:w="5443" w:type="dxa"/>
            <w:tcBorders>
              <w:tl2br w:val="nil"/>
              <w:tr2bl w:val="nil"/>
            </w:tcBorders>
            <w:vAlign w:val="center"/>
          </w:tcPr>
          <w:p w14:paraId="0FA91A72">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近5年内（自20</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lang w:val="zh-CN"/>
                <w14:textFill>
                  <w14:solidFill>
                    <w14:schemeClr w14:val="tx1"/>
                  </w14:solidFill>
                </w14:textFill>
              </w:rPr>
              <w:t>年以来）至少</w:t>
            </w:r>
            <w:r>
              <w:rPr>
                <w:rFonts w:hint="eastAsia" w:ascii="宋体" w:hAnsi="宋体" w:eastAsia="宋体" w:cs="宋体"/>
                <w:color w:val="000000" w:themeColor="text1"/>
                <w:sz w:val="21"/>
                <w:szCs w:val="21"/>
                <w14:textFill>
                  <w14:solidFill>
                    <w14:schemeClr w14:val="tx1"/>
                  </w14:solidFill>
                </w14:textFill>
              </w:rPr>
              <w:t>有类似业绩</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个。</w:t>
            </w:r>
          </w:p>
        </w:tc>
      </w:tr>
      <w:tr w14:paraId="06FC5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130" w:hRule="atLeast"/>
        </w:trPr>
        <w:tc>
          <w:tcPr>
            <w:tcW w:w="1440" w:type="dxa"/>
            <w:vMerge w:val="continue"/>
            <w:tcBorders>
              <w:tl2br w:val="nil"/>
              <w:tr2bl w:val="nil"/>
            </w:tcBorders>
            <w:vAlign w:val="center"/>
          </w:tcPr>
          <w:p w14:paraId="6D96C93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590E8BD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商业信誉</w:t>
            </w:r>
          </w:p>
        </w:tc>
        <w:tc>
          <w:tcPr>
            <w:tcW w:w="5443" w:type="dxa"/>
            <w:tcBorders>
              <w:tl2br w:val="nil"/>
              <w:tr2bl w:val="nil"/>
            </w:tcBorders>
            <w:vAlign w:val="center"/>
          </w:tcPr>
          <w:p w14:paraId="20A4581D">
            <w:pPr>
              <w:tabs>
                <w:tab w:val="left" w:pos="279"/>
                <w:tab w:val="left" w:pos="430"/>
              </w:tabs>
              <w:spacing w:line="360" w:lineRule="auto"/>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投标人具有良好的银行资信和商业信誉，没有处于被责令停业或破产状态，且资产未被重组、接管和冻结，</w:t>
            </w:r>
            <w:r>
              <w:rPr>
                <w:rFonts w:hint="eastAsia" w:ascii="宋体" w:hAnsi="宋体" w:eastAsia="宋体" w:cs="宋体"/>
                <w:color w:val="000000" w:themeColor="text1"/>
                <w:sz w:val="21"/>
                <w:szCs w:val="21"/>
                <w14:textFill>
                  <w14:solidFill>
                    <w14:schemeClr w14:val="tx1"/>
                  </w14:solidFill>
                </w14:textFill>
              </w:rPr>
              <w:t>近三年以</w:t>
            </w:r>
            <w:r>
              <w:rPr>
                <w:rFonts w:hint="eastAsia" w:ascii="宋体" w:hAnsi="宋体" w:eastAsia="宋体" w:cs="宋体"/>
                <w:color w:val="000000" w:themeColor="text1"/>
                <w:sz w:val="21"/>
                <w:szCs w:val="21"/>
                <w:lang w:val="zh-CN"/>
                <w14:textFill>
                  <w14:solidFill>
                    <w14:schemeClr w14:val="tx1"/>
                  </w14:solidFill>
                </w14:textFill>
              </w:rPr>
              <w:t>来未发生因合同违约或发生重大设备质量问题而被投诉。提供企业承诺书原件</w:t>
            </w:r>
            <w:r>
              <w:rPr>
                <w:rFonts w:hint="eastAsia" w:ascii="宋体" w:hAnsi="宋体" w:eastAsia="宋体" w:cs="宋体"/>
                <w:color w:val="000000" w:themeColor="text1"/>
                <w:sz w:val="21"/>
                <w:szCs w:val="21"/>
                <w14:textFill>
                  <w14:solidFill>
                    <w14:schemeClr w14:val="tx1"/>
                  </w14:solidFill>
                </w14:textFill>
              </w:rPr>
              <w:t>；未</w:t>
            </w:r>
            <w:r>
              <w:rPr>
                <w:rFonts w:hint="eastAsia" w:ascii="宋体" w:hAnsi="宋体" w:eastAsia="宋体" w:cs="宋体"/>
                <w:color w:val="000000" w:themeColor="text1"/>
                <w:sz w:val="21"/>
                <w:szCs w:val="21"/>
                <w:lang w:val="zh-CN"/>
                <w14:textFill>
                  <w14:solidFill>
                    <w14:schemeClr w14:val="tx1"/>
                  </w14:solidFill>
                </w14:textFill>
              </w:rPr>
              <w:t>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国家企业信用信息公示系统</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网站</w:t>
            </w:r>
            <w:r>
              <w:rPr>
                <w:rFonts w:hint="eastAsia" w:ascii="宋体" w:hAnsi="宋体" w:eastAsia="宋体" w:cs="宋体"/>
                <w:color w:val="000000" w:themeColor="text1"/>
                <w:sz w:val="21"/>
                <w:szCs w:val="21"/>
                <w14:textFill>
                  <w14:solidFill>
                    <w14:schemeClr w14:val="tx1"/>
                  </w14:solidFill>
                </w14:textFill>
              </w:rPr>
              <w:t>（http://www.gsxt.gov.cn）</w:t>
            </w:r>
            <w:r>
              <w:rPr>
                <w:rFonts w:hint="eastAsia" w:ascii="宋体" w:hAnsi="宋体" w:eastAsia="宋体" w:cs="宋体"/>
                <w:color w:val="000000" w:themeColor="text1"/>
                <w:sz w:val="21"/>
                <w:szCs w:val="21"/>
                <w:lang w:val="zh-CN"/>
                <w14:textFill>
                  <w14:solidFill>
                    <w14:schemeClr w14:val="tx1"/>
                  </w14:solidFill>
                </w14:textFill>
              </w:rPr>
              <w:t>被列入严重违法失信企业名单或经营异常名录。提供网站下载的信用报告。</w:t>
            </w:r>
          </w:p>
        </w:tc>
      </w:tr>
      <w:tr w14:paraId="7F7B9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65" w:hRule="atLeast"/>
        </w:trPr>
        <w:tc>
          <w:tcPr>
            <w:tcW w:w="1440" w:type="dxa"/>
            <w:vMerge w:val="continue"/>
            <w:tcBorders>
              <w:tl2br w:val="nil"/>
              <w:tr2bl w:val="nil"/>
            </w:tcBorders>
            <w:vAlign w:val="center"/>
          </w:tcPr>
          <w:p w14:paraId="7ABB642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EDE9D9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5443" w:type="dxa"/>
            <w:tcBorders>
              <w:tl2br w:val="nil"/>
              <w:tr2bl w:val="nil"/>
            </w:tcBorders>
            <w:vAlign w:val="center"/>
          </w:tcPr>
          <w:p w14:paraId="48D83C19">
            <w:pPr>
              <w:tabs>
                <w:tab w:val="left" w:pos="279"/>
                <w:tab w:val="left" w:pos="430"/>
              </w:tabs>
              <w:spacing w:line="400" w:lineRule="exact"/>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p>
        </w:tc>
      </w:tr>
      <w:tr w14:paraId="62A88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6" w:hRule="atLeast"/>
        </w:trPr>
        <w:tc>
          <w:tcPr>
            <w:tcW w:w="1440" w:type="dxa"/>
            <w:vMerge w:val="continue"/>
            <w:tcBorders>
              <w:tl2br w:val="nil"/>
              <w:tr2bl w:val="nil"/>
            </w:tcBorders>
            <w:vAlign w:val="center"/>
          </w:tcPr>
          <w:p w14:paraId="5F8C190E">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1FA12DC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实质性响应</w:t>
            </w:r>
          </w:p>
        </w:tc>
        <w:tc>
          <w:tcPr>
            <w:tcW w:w="5443" w:type="dxa"/>
            <w:tcBorders>
              <w:tl2br w:val="nil"/>
              <w:tr2bl w:val="nil"/>
            </w:tcBorders>
            <w:vAlign w:val="center"/>
          </w:tcPr>
          <w:p w14:paraId="02C519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与招标文件要求的全部条款、条件和规格参数相符，没有重大偏离的投标。对关键条文的偏离、保留或反对将被认为是实质上的偏离。</w:t>
            </w:r>
          </w:p>
        </w:tc>
      </w:tr>
      <w:tr w14:paraId="2F0C7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3886" w:type="dxa"/>
            <w:gridSpan w:val="2"/>
            <w:tcBorders>
              <w:tl2br w:val="nil"/>
              <w:tr2bl w:val="nil"/>
            </w:tcBorders>
            <w:vAlign w:val="center"/>
          </w:tcPr>
          <w:p w14:paraId="41EEF9A7">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初步审查结论</w:t>
            </w:r>
          </w:p>
        </w:tc>
        <w:tc>
          <w:tcPr>
            <w:tcW w:w="5443" w:type="dxa"/>
            <w:tcBorders>
              <w:tl2br w:val="nil"/>
              <w:tr2bl w:val="nil"/>
            </w:tcBorders>
            <w:vAlign w:val="center"/>
          </w:tcPr>
          <w:p w14:paraId="3B4A2BFB">
            <w:pPr>
              <w:spacing w:line="360" w:lineRule="auto"/>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合格或不合格</w:t>
            </w:r>
          </w:p>
        </w:tc>
      </w:tr>
    </w:tbl>
    <w:p w14:paraId="5C1F52C4">
      <w:pPr>
        <w:spacing w:before="24" w:beforeLines="1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9" w:name="_Toc136173614"/>
      <w:bookmarkStart w:id="340" w:name="_Toc17598"/>
      <w:r>
        <w:rPr>
          <w:rFonts w:hint="eastAsia" w:ascii="宋体" w:hAnsi="宋体" w:eastAsia="宋体" w:cs="宋体"/>
          <w:b/>
          <w:color w:val="000000" w:themeColor="text1"/>
          <w:szCs w:val="24"/>
          <w14:textFill>
            <w14:solidFill>
              <w14:schemeClr w14:val="tx1"/>
            </w14:solidFill>
          </w14:textFill>
        </w:rPr>
        <w:t>4.  详细评审</w:t>
      </w:r>
      <w:bookmarkEnd w:id="339"/>
      <w:bookmarkEnd w:id="340"/>
    </w:p>
    <w:p w14:paraId="7717F6FC">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评标委员会对初步评审合格的投标文件作进一步评审、比较。</w:t>
      </w:r>
    </w:p>
    <w:p w14:paraId="087BB996">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本办法计分实行百分制，满分100分，其中：</w:t>
      </w:r>
    </w:p>
    <w:tbl>
      <w:tblPr>
        <w:tblStyle w:val="4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4340"/>
        <w:gridCol w:w="3131"/>
      </w:tblGrid>
      <w:tr w14:paraId="32E07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4" w:type="pct"/>
            <w:tcBorders>
              <w:tl2br w:val="nil"/>
              <w:tr2bl w:val="nil"/>
            </w:tcBorders>
            <w:vAlign w:val="center"/>
          </w:tcPr>
          <w:p w14:paraId="7017D42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308" w:type="pct"/>
            <w:tcBorders>
              <w:tl2br w:val="nil"/>
              <w:tr2bl w:val="nil"/>
            </w:tcBorders>
            <w:vAlign w:val="center"/>
          </w:tcPr>
          <w:p w14:paraId="556F582F">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评价指标名称</w:t>
            </w:r>
          </w:p>
        </w:tc>
        <w:tc>
          <w:tcPr>
            <w:tcW w:w="1666" w:type="pct"/>
            <w:tcBorders>
              <w:tl2br w:val="nil"/>
              <w:tr2bl w:val="nil"/>
            </w:tcBorders>
            <w:vAlign w:val="center"/>
          </w:tcPr>
          <w:p w14:paraId="570A0DE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满分分值</w:t>
            </w:r>
          </w:p>
        </w:tc>
      </w:tr>
      <w:tr w14:paraId="5A88B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4" w:type="pct"/>
            <w:tcBorders>
              <w:tl2br w:val="nil"/>
              <w:tr2bl w:val="nil"/>
            </w:tcBorders>
            <w:vAlign w:val="center"/>
          </w:tcPr>
          <w:p w14:paraId="54FEEA9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2308" w:type="pct"/>
            <w:tcBorders>
              <w:tl2br w:val="nil"/>
              <w:tr2bl w:val="nil"/>
            </w:tcBorders>
            <w:vAlign w:val="center"/>
          </w:tcPr>
          <w:p w14:paraId="79D6DC95">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商务评审得分</w:t>
            </w:r>
          </w:p>
        </w:tc>
        <w:tc>
          <w:tcPr>
            <w:tcW w:w="1666" w:type="pct"/>
            <w:tcBorders>
              <w:tl2br w:val="nil"/>
              <w:tr2bl w:val="nil"/>
            </w:tcBorders>
            <w:vAlign w:val="center"/>
          </w:tcPr>
          <w:p w14:paraId="54F8333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14:paraId="32D28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4" w:type="pct"/>
            <w:tcBorders>
              <w:tl2br w:val="nil"/>
              <w:tr2bl w:val="nil"/>
            </w:tcBorders>
            <w:vAlign w:val="center"/>
          </w:tcPr>
          <w:p w14:paraId="304DAF62">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2308" w:type="pct"/>
            <w:tcBorders>
              <w:tl2br w:val="nil"/>
              <w:tr2bl w:val="nil"/>
            </w:tcBorders>
            <w:vAlign w:val="center"/>
          </w:tcPr>
          <w:p w14:paraId="4475B96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技术评审得分</w:t>
            </w:r>
          </w:p>
        </w:tc>
        <w:tc>
          <w:tcPr>
            <w:tcW w:w="1666" w:type="pct"/>
            <w:tcBorders>
              <w:tl2br w:val="nil"/>
              <w:tr2bl w:val="nil"/>
            </w:tcBorders>
            <w:vAlign w:val="center"/>
          </w:tcPr>
          <w:p w14:paraId="5CFD7C7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r>
      <w:tr w14:paraId="15A3C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24" w:type="pct"/>
            <w:tcBorders>
              <w:tl2br w:val="nil"/>
              <w:tr2bl w:val="nil"/>
            </w:tcBorders>
            <w:vAlign w:val="center"/>
          </w:tcPr>
          <w:p w14:paraId="1C85C054">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2308" w:type="pct"/>
            <w:tcBorders>
              <w:tl2br w:val="nil"/>
              <w:tr2bl w:val="nil"/>
            </w:tcBorders>
            <w:vAlign w:val="center"/>
          </w:tcPr>
          <w:p w14:paraId="1E4AD55E">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价格评审得分</w:t>
            </w:r>
          </w:p>
        </w:tc>
        <w:tc>
          <w:tcPr>
            <w:tcW w:w="1666" w:type="pct"/>
            <w:tcBorders>
              <w:tl2br w:val="nil"/>
              <w:tr2bl w:val="nil"/>
            </w:tcBorders>
            <w:vAlign w:val="center"/>
          </w:tcPr>
          <w:p w14:paraId="51E80D13">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r>
      <w:tr w14:paraId="25392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333" w:type="pct"/>
            <w:gridSpan w:val="2"/>
            <w:tcBorders>
              <w:tl2br w:val="nil"/>
              <w:tr2bl w:val="nil"/>
            </w:tcBorders>
            <w:vAlign w:val="center"/>
          </w:tcPr>
          <w:p w14:paraId="0745BC6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综合评分</w:t>
            </w:r>
          </w:p>
        </w:tc>
        <w:tc>
          <w:tcPr>
            <w:tcW w:w="1666" w:type="pct"/>
            <w:tcBorders>
              <w:tl2br w:val="nil"/>
              <w:tr2bl w:val="nil"/>
            </w:tcBorders>
            <w:vAlign w:val="center"/>
          </w:tcPr>
          <w:p w14:paraId="53EBEA3A">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bl>
    <w:p w14:paraId="3161A772">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1" w:name="_Toc136173615"/>
      <w:bookmarkStart w:id="342" w:name="_Toc20423"/>
      <w:r>
        <w:rPr>
          <w:rFonts w:hint="eastAsia" w:ascii="宋体" w:hAnsi="宋体" w:cs="宋体"/>
          <w:color w:val="000000" w:themeColor="text1"/>
          <w:sz w:val="24"/>
          <w:szCs w:val="24"/>
          <w14:textFill>
            <w14:solidFill>
              <w14:schemeClr w14:val="tx1"/>
            </w14:solidFill>
          </w14:textFill>
        </w:rPr>
        <w:t>4.1 商务评分标准（10分）</w:t>
      </w:r>
      <w:bookmarkEnd w:id="341"/>
      <w:bookmarkEnd w:id="342"/>
    </w:p>
    <w:tbl>
      <w:tblPr>
        <w:tblStyle w:val="48"/>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29"/>
        <w:gridCol w:w="680"/>
        <w:gridCol w:w="5627"/>
      </w:tblGrid>
      <w:tr w14:paraId="7064F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tcPr>
          <w:p w14:paraId="2D30F481">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466031D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93" w:type="pct"/>
            <w:tcBorders>
              <w:tl2br w:val="nil"/>
              <w:tr2bl w:val="nil"/>
            </w:tcBorders>
          </w:tcPr>
          <w:p w14:paraId="29BE3404">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6E88A446">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362" w:type="pct"/>
            <w:tcBorders>
              <w:tl2br w:val="nil"/>
              <w:tr2bl w:val="nil"/>
            </w:tcBorders>
          </w:tcPr>
          <w:p w14:paraId="348643B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14D9FBAE">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c>
          <w:tcPr>
            <w:tcW w:w="2995" w:type="pct"/>
            <w:tcBorders>
              <w:tl2br w:val="nil"/>
              <w:tr2bl w:val="nil"/>
            </w:tcBorders>
          </w:tcPr>
          <w:p w14:paraId="397A6538">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4BD3BC6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评分标准说明</w:t>
            </w:r>
          </w:p>
        </w:tc>
      </w:tr>
      <w:tr w14:paraId="3D103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154C3167">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1293" w:type="pct"/>
            <w:tcBorders>
              <w:tl2br w:val="nil"/>
              <w:tr2bl w:val="nil"/>
            </w:tcBorders>
            <w:vAlign w:val="center"/>
          </w:tcPr>
          <w:p w14:paraId="7A44A1BF">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企业实力</w:t>
            </w:r>
          </w:p>
        </w:tc>
        <w:tc>
          <w:tcPr>
            <w:tcW w:w="362" w:type="pct"/>
            <w:tcBorders>
              <w:tl2br w:val="nil"/>
              <w:tr2bl w:val="nil"/>
            </w:tcBorders>
            <w:vAlign w:val="center"/>
          </w:tcPr>
          <w:p w14:paraId="00E8ED8A">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2995" w:type="pct"/>
            <w:tcBorders>
              <w:tl2br w:val="nil"/>
              <w:tr2bl w:val="nil"/>
            </w:tcBorders>
            <w:vAlign w:val="center"/>
          </w:tcPr>
          <w:p w14:paraId="5000B9AF">
            <w:pPr>
              <w:snapToGrid w:val="0"/>
              <w:spacing w:before="48" w:beforeLines="20" w:after="5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①投标人具有危废品运输许可资质</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zh-CN"/>
                <w14:textFill>
                  <w14:solidFill>
                    <w14:schemeClr w14:val="tx1"/>
                  </w14:solidFill>
                </w14:textFill>
              </w:rPr>
              <w:t>安全生产资质、行业标准</w:t>
            </w:r>
            <w:r>
              <w:rPr>
                <w:rFonts w:hint="eastAsia" w:ascii="宋体" w:hAnsi="宋体" w:eastAsia="宋体" w:cs="宋体"/>
                <w:bCs/>
                <w:color w:val="000000" w:themeColor="text1"/>
                <w:sz w:val="21"/>
                <w:szCs w:val="21"/>
                <w14:textFill>
                  <w14:solidFill>
                    <w14:schemeClr w14:val="tx1"/>
                  </w14:solidFill>
                </w14:textFill>
              </w:rPr>
              <w:t>，得1分，具备在“广东省固体废物环境监管平台”进行注册的加1分</w:t>
            </w:r>
          </w:p>
          <w:p w14:paraId="0298C899">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②提供最近三年度的财务报表，财务状况良好得2分，其他视情况0-1分，不盈利不得分</w:t>
            </w:r>
          </w:p>
        </w:tc>
      </w:tr>
      <w:tr w14:paraId="62F68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25DF7364">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1293" w:type="pct"/>
            <w:tcBorders>
              <w:tl2br w:val="nil"/>
              <w:tr2bl w:val="nil"/>
            </w:tcBorders>
            <w:vAlign w:val="center"/>
          </w:tcPr>
          <w:p w14:paraId="04885C8B">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业绩</w:t>
            </w:r>
          </w:p>
        </w:tc>
        <w:tc>
          <w:tcPr>
            <w:tcW w:w="362" w:type="pct"/>
            <w:tcBorders>
              <w:tl2br w:val="nil"/>
              <w:tr2bl w:val="nil"/>
            </w:tcBorders>
            <w:vAlign w:val="center"/>
          </w:tcPr>
          <w:p w14:paraId="30D351BA">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2995" w:type="pct"/>
            <w:tcBorders>
              <w:tl2br w:val="nil"/>
              <w:tr2bl w:val="nil"/>
            </w:tcBorders>
            <w:vAlign w:val="center"/>
          </w:tcPr>
          <w:p w14:paraId="1D37F58C">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近五年内</w:t>
            </w:r>
            <w:r>
              <w:rPr>
                <w:rFonts w:hint="eastAsia" w:cs="宋体"/>
                <w:color w:val="000000" w:themeColor="text1"/>
                <w:sz w:val="21"/>
                <w:szCs w:val="21"/>
                <w14:textFill>
                  <w14:solidFill>
                    <w14:schemeClr w14:val="tx1"/>
                  </w14:solidFill>
                </w14:textFill>
              </w:rPr>
              <w:t>相关飞灰填埋场运营管理及飞灰转运、填埋服务≥</w:t>
            </w:r>
            <w:r>
              <w:rPr>
                <w:rFonts w:hint="eastAsia" w:cs="宋体"/>
                <w:bCs/>
                <w:color w:val="000000" w:themeColor="text1"/>
                <w:sz w:val="21"/>
                <w:szCs w:val="21"/>
                <w:lang w:val="en-US" w:eastAsia="zh-CN"/>
                <w14:textFill>
                  <w14:solidFill>
                    <w14:schemeClr w14:val="tx1"/>
                  </w14:solidFill>
                </w14:textFill>
              </w:rPr>
              <w:t>1</w:t>
            </w:r>
            <w:r>
              <w:rPr>
                <w:rFonts w:hint="eastAsia" w:cs="宋体"/>
                <w:bCs/>
                <w:color w:val="000000" w:themeColor="text1"/>
                <w:sz w:val="21"/>
                <w:szCs w:val="21"/>
                <w14:textFill>
                  <w14:solidFill>
                    <w14:schemeClr w14:val="tx1"/>
                  </w14:solidFill>
                </w14:textFill>
              </w:rPr>
              <w:t>个业绩，得基本分3分，每增加1个业绩加1分，满分5分。须提供合同关键页复印件，时间以合同签订时间为准（</w:t>
            </w:r>
            <w:r>
              <w:rPr>
                <w:rFonts w:cs="宋体"/>
                <w:sz w:val="21"/>
              </w:rPr>
              <w:t>合同关键页：至少包含合同首页、处理规模、处理对象、处理工艺、签订时间、签字盖章页等，合同未体现上述内容的，需附体现上述内容的证明文件</w:t>
            </w:r>
            <w:r>
              <w:rPr>
                <w:rFonts w:hint="eastAsia" w:cs="宋体"/>
                <w:bCs/>
                <w:color w:val="000000" w:themeColor="text1"/>
                <w:sz w:val="21"/>
                <w:szCs w:val="21"/>
                <w14:textFill>
                  <w14:solidFill>
                    <w14:schemeClr w14:val="tx1"/>
                  </w14:solidFill>
                </w14:textFill>
              </w:rPr>
              <w:t>）。</w:t>
            </w:r>
          </w:p>
        </w:tc>
      </w:tr>
      <w:tr w14:paraId="258D8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593B3B6A">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293" w:type="pct"/>
            <w:tcBorders>
              <w:tl2br w:val="nil"/>
              <w:tr2bl w:val="nil"/>
            </w:tcBorders>
            <w:vAlign w:val="center"/>
          </w:tcPr>
          <w:p w14:paraId="0F617814">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商务条款符合性</w:t>
            </w:r>
          </w:p>
        </w:tc>
        <w:tc>
          <w:tcPr>
            <w:tcW w:w="362" w:type="pct"/>
            <w:tcBorders>
              <w:tl2br w:val="nil"/>
              <w:tr2bl w:val="nil"/>
            </w:tcBorders>
            <w:vAlign w:val="center"/>
          </w:tcPr>
          <w:p w14:paraId="5867D5D8">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2995" w:type="pct"/>
            <w:tcBorders>
              <w:tl2br w:val="nil"/>
              <w:tr2bl w:val="nil"/>
            </w:tcBorders>
            <w:vAlign w:val="center"/>
          </w:tcPr>
          <w:p w14:paraId="463B154A">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服务</w:t>
            </w:r>
            <w:r>
              <w:rPr>
                <w:rFonts w:hint="eastAsia" w:ascii="宋体" w:hAnsi="宋体" w:eastAsia="宋体" w:cs="宋体"/>
                <w:bCs/>
                <w:color w:val="000000" w:themeColor="text1"/>
                <w:sz w:val="21"/>
                <w:szCs w:val="21"/>
                <w14:textFill>
                  <w14:solidFill>
                    <w14:schemeClr w14:val="tx1"/>
                  </w14:solidFill>
                </w14:textFill>
              </w:rPr>
              <w:t>期及其他商务条款满足招标文件要求，得2分,其他酌情得分。</w:t>
            </w:r>
          </w:p>
        </w:tc>
      </w:tr>
      <w:tr w14:paraId="1BF4A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42" w:type="pct"/>
            <w:gridSpan w:val="2"/>
            <w:tcBorders>
              <w:tl2br w:val="nil"/>
              <w:tr2bl w:val="nil"/>
            </w:tcBorders>
          </w:tcPr>
          <w:p w14:paraId="76831082">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6FC5599F">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p>
        </w:tc>
        <w:tc>
          <w:tcPr>
            <w:tcW w:w="362" w:type="pct"/>
            <w:tcBorders>
              <w:tl2br w:val="nil"/>
              <w:tr2bl w:val="nil"/>
            </w:tcBorders>
          </w:tcPr>
          <w:p w14:paraId="446D26F4">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53CD39E3">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w:t>
            </w:r>
          </w:p>
        </w:tc>
        <w:tc>
          <w:tcPr>
            <w:tcW w:w="2995" w:type="pct"/>
            <w:tcBorders>
              <w:tl2br w:val="nil"/>
              <w:tr2bl w:val="nil"/>
            </w:tcBorders>
          </w:tcPr>
          <w:p w14:paraId="358808B3">
            <w:pPr>
              <w:snapToGrid w:val="0"/>
              <w:spacing w:before="48" w:beforeLines="20" w:after="50"/>
              <w:rPr>
                <w:rFonts w:ascii="宋体" w:hAnsi="宋体" w:eastAsia="宋体" w:cs="宋体"/>
                <w:b/>
                <w:color w:val="000000" w:themeColor="text1"/>
                <w:sz w:val="21"/>
                <w:szCs w:val="21"/>
                <w14:textFill>
                  <w14:solidFill>
                    <w14:schemeClr w14:val="tx1"/>
                  </w14:solidFill>
                </w14:textFill>
              </w:rPr>
            </w:pPr>
          </w:p>
        </w:tc>
      </w:tr>
    </w:tbl>
    <w:p w14:paraId="3DF1FC23">
      <w:pPr>
        <w:pStyle w:val="41"/>
        <w:numPr>
          <w:ilvl w:val="0"/>
          <w:numId w:val="3"/>
        </w:numPr>
        <w:rPr>
          <w:rFonts w:hAnsi="宋体" w:cs="宋体"/>
          <w:color w:val="000000" w:themeColor="text1"/>
          <w:lang w:val="zh-CN"/>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p>
    <w:p w14:paraId="5FD3F57F">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3" w:name="_Toc136173616"/>
      <w:bookmarkStart w:id="344" w:name="_Toc17854"/>
      <w:r>
        <w:rPr>
          <w:rFonts w:hint="eastAsia" w:ascii="宋体" w:hAnsi="宋体" w:cs="宋体"/>
          <w:color w:val="000000" w:themeColor="text1"/>
          <w:sz w:val="24"/>
          <w:szCs w:val="24"/>
          <w14:textFill>
            <w14:solidFill>
              <w14:schemeClr w14:val="tx1"/>
            </w14:solidFill>
          </w14:textFill>
        </w:rPr>
        <w:t>4.2 技术评分标准（30分）</w:t>
      </w:r>
      <w:bookmarkEnd w:id="343"/>
      <w:bookmarkEnd w:id="344"/>
    </w:p>
    <w:tbl>
      <w:tblPr>
        <w:tblStyle w:val="48"/>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35"/>
        <w:gridCol w:w="675"/>
        <w:gridCol w:w="5036"/>
      </w:tblGrid>
      <w:tr w14:paraId="7C964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120A23DA">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135" w:type="dxa"/>
            <w:tcBorders>
              <w:tl2br w:val="nil"/>
              <w:tr2bl w:val="nil"/>
            </w:tcBorders>
            <w:vAlign w:val="center"/>
          </w:tcPr>
          <w:p w14:paraId="2FBF17E7">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评审因素</w:t>
            </w:r>
          </w:p>
        </w:tc>
        <w:tc>
          <w:tcPr>
            <w:tcW w:w="675" w:type="dxa"/>
            <w:tcBorders>
              <w:tl2br w:val="nil"/>
              <w:tr2bl w:val="nil"/>
            </w:tcBorders>
            <w:vAlign w:val="center"/>
          </w:tcPr>
          <w:p w14:paraId="5EE7B22C">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分值</w:t>
            </w:r>
          </w:p>
        </w:tc>
        <w:tc>
          <w:tcPr>
            <w:tcW w:w="5036" w:type="dxa"/>
            <w:tcBorders>
              <w:tl2br w:val="nil"/>
              <w:tr2bl w:val="nil"/>
            </w:tcBorders>
            <w:vAlign w:val="center"/>
          </w:tcPr>
          <w:p w14:paraId="5D160D9E">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评分标准说明</w:t>
            </w:r>
          </w:p>
        </w:tc>
      </w:tr>
      <w:tr w14:paraId="142C0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03DF3816">
            <w:pPr>
              <w:ind w:right="-139" w:rightChars="-58"/>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35" w:type="dxa"/>
            <w:tcBorders>
              <w:tl2br w:val="nil"/>
              <w:tr2bl w:val="nil"/>
            </w:tcBorders>
            <w:vAlign w:val="center"/>
          </w:tcPr>
          <w:p w14:paraId="64E6917D">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方案</w:t>
            </w:r>
          </w:p>
        </w:tc>
        <w:tc>
          <w:tcPr>
            <w:tcW w:w="675" w:type="dxa"/>
            <w:tcBorders>
              <w:tl2br w:val="nil"/>
              <w:tr2bl w:val="nil"/>
            </w:tcBorders>
            <w:vAlign w:val="center"/>
          </w:tcPr>
          <w:p w14:paraId="72EEC734">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15</w:t>
            </w:r>
          </w:p>
        </w:tc>
        <w:tc>
          <w:tcPr>
            <w:tcW w:w="5036" w:type="dxa"/>
            <w:tcBorders>
              <w:tl2br w:val="nil"/>
              <w:tr2bl w:val="nil"/>
            </w:tcBorders>
            <w:vAlign w:val="center"/>
          </w:tcPr>
          <w:p w14:paraId="2294DD9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w:t>
            </w: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方案是否满足技术要求及方案的详细程度及合理性进行评审。</w:t>
            </w:r>
          </w:p>
          <w:p w14:paraId="5E44A856">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满足技术需求书的对</w:t>
            </w: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方案的内容要求，包括专项技术方案答疑等。各项指标满足</w:t>
            </w:r>
            <w:r>
              <w:rPr>
                <w:rFonts w:hint="eastAsia" w:ascii="宋体" w:hAnsi="宋体" w:eastAsia="宋体" w:cs="宋体"/>
                <w:color w:val="000000" w:themeColor="text1"/>
                <w:szCs w:val="21"/>
                <w:lang w:val="en-US" w:eastAsia="zh-CN"/>
                <w14:textFill>
                  <w14:solidFill>
                    <w14:schemeClr w14:val="tx1"/>
                  </w14:solidFill>
                </w14:textFill>
              </w:rPr>
              <w:t>现场服务</w:t>
            </w:r>
            <w:r>
              <w:rPr>
                <w:rFonts w:hint="eastAsia" w:ascii="宋体" w:hAnsi="宋体" w:eastAsia="宋体" w:cs="宋体"/>
                <w:color w:val="000000" w:themeColor="text1"/>
                <w:szCs w:val="21"/>
                <w14:textFill>
                  <w14:solidFill>
                    <w14:schemeClr w14:val="tx1"/>
                  </w14:solidFill>
                </w14:textFill>
              </w:rPr>
              <w:t>要求，表格内容完善完整，</w:t>
            </w: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方案合理，</w:t>
            </w:r>
            <w:r>
              <w:rPr>
                <w:rFonts w:hint="eastAsia" w:ascii="宋体" w:hAnsi="宋体" w:eastAsia="宋体" w:cs="宋体"/>
                <w:color w:val="000000" w:themeColor="text1"/>
                <w:szCs w:val="21"/>
                <w:lang w:val="en-US" w:eastAsia="zh-CN"/>
                <w14:textFill>
                  <w14:solidFill>
                    <w14:schemeClr w14:val="tx1"/>
                  </w14:solidFill>
                </w14:textFill>
              </w:rPr>
              <w:t>机械和人员配置</w:t>
            </w:r>
            <w:r>
              <w:rPr>
                <w:rFonts w:hint="eastAsia" w:ascii="宋体" w:hAnsi="宋体" w:eastAsia="宋体" w:cs="宋体"/>
                <w:color w:val="000000" w:themeColor="text1"/>
                <w:szCs w:val="21"/>
                <w14:textFill>
                  <w14:solidFill>
                    <w14:schemeClr w14:val="tx1"/>
                  </w14:solidFill>
                </w14:textFill>
              </w:rPr>
              <w:t>选择合理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cs="宋体"/>
                <w:szCs w:val="21"/>
              </w:rPr>
              <w:t>作业过程的安全管理责任及环保管理责任</w:t>
            </w:r>
            <w:r>
              <w:rPr>
                <w:rFonts w:hint="eastAsia" w:ascii="宋体" w:hAnsi="宋体" w:cs="宋体"/>
                <w:szCs w:val="21"/>
                <w:lang w:val="en-US" w:eastAsia="zh-CN"/>
              </w:rPr>
              <w:t>是否符合要求、物资保障是否合理及时、对投标方管理是否服从</w:t>
            </w:r>
            <w:r>
              <w:rPr>
                <w:rFonts w:hint="eastAsia" w:ascii="宋体" w:hAnsi="宋体" w:eastAsia="宋体" w:cs="宋体"/>
                <w:color w:val="000000" w:themeColor="text1"/>
                <w:szCs w:val="21"/>
                <w14:textFill>
                  <w14:solidFill>
                    <w14:schemeClr w14:val="tx1"/>
                  </w14:solidFill>
                </w14:textFill>
              </w:rPr>
              <w:t>。</w:t>
            </w:r>
          </w:p>
          <w:p w14:paraId="539BEFF0">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分，良好的得5-</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tc>
      </w:tr>
      <w:tr w14:paraId="5C7CA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6175F442">
            <w:pPr>
              <w:ind w:right="-139" w:rightChars="-58"/>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3135" w:type="dxa"/>
            <w:tcBorders>
              <w:tl2br w:val="nil"/>
              <w:tr2bl w:val="nil"/>
            </w:tcBorders>
            <w:vAlign w:val="center"/>
          </w:tcPr>
          <w:p w14:paraId="5A731D47">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质量、进度、安全保证措施，</w:t>
            </w:r>
            <w:r>
              <w:rPr>
                <w:rFonts w:hint="eastAsia" w:ascii="宋体" w:hAnsi="宋体" w:eastAsia="宋体" w:cs="宋体"/>
                <w:color w:val="000000" w:themeColor="text1"/>
                <w:szCs w:val="21"/>
                <w:lang w:val="en-US" w:eastAsia="zh-CN"/>
                <w14:textFill>
                  <w14:solidFill>
                    <w14:schemeClr w14:val="tx1"/>
                  </w14:solidFill>
                </w14:textFill>
              </w:rPr>
              <w:t>转运、填埋</w:t>
            </w:r>
            <w:r>
              <w:rPr>
                <w:rFonts w:hint="eastAsia" w:ascii="宋体" w:hAnsi="宋体" w:eastAsia="宋体" w:cs="宋体"/>
                <w:color w:val="000000" w:themeColor="text1"/>
                <w:szCs w:val="21"/>
                <w14:textFill>
                  <w14:solidFill>
                    <w14:schemeClr w14:val="tx1"/>
                  </w14:solidFill>
                </w14:textFill>
              </w:rPr>
              <w:t>进度计划，</w:t>
            </w: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人员</w:t>
            </w:r>
            <w:r>
              <w:rPr>
                <w:rFonts w:hint="eastAsia" w:ascii="宋体" w:hAnsi="宋体" w:eastAsia="宋体" w:cs="宋体"/>
                <w:color w:val="000000" w:themeColor="text1"/>
                <w:szCs w:val="21"/>
                <w:lang w:val="en-US" w:eastAsia="zh-CN"/>
                <w14:textFill>
                  <w14:solidFill>
                    <w14:schemeClr w14:val="tx1"/>
                  </w14:solidFill>
                </w14:textFill>
              </w:rPr>
              <w:t>及机械</w:t>
            </w:r>
            <w:r>
              <w:rPr>
                <w:rFonts w:hint="eastAsia" w:ascii="宋体" w:hAnsi="宋体" w:eastAsia="宋体" w:cs="宋体"/>
                <w:color w:val="000000" w:themeColor="text1"/>
                <w:szCs w:val="21"/>
                <w14:textFill>
                  <w14:solidFill>
                    <w14:schemeClr w14:val="tx1"/>
                  </w14:solidFill>
                </w14:textFill>
              </w:rPr>
              <w:t>安排计划</w:t>
            </w:r>
          </w:p>
        </w:tc>
        <w:tc>
          <w:tcPr>
            <w:tcW w:w="675" w:type="dxa"/>
            <w:tcBorders>
              <w:tl2br w:val="nil"/>
              <w:tr2bl w:val="nil"/>
            </w:tcBorders>
            <w:vAlign w:val="center"/>
          </w:tcPr>
          <w:p w14:paraId="008EE741">
            <w:pPr>
              <w:snapToGrid w:val="0"/>
              <w:spacing w:line="30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w:t>
            </w:r>
          </w:p>
        </w:tc>
        <w:tc>
          <w:tcPr>
            <w:tcW w:w="5036" w:type="dxa"/>
            <w:tcBorders>
              <w:tl2br w:val="nil"/>
              <w:tr2bl w:val="nil"/>
            </w:tcBorders>
            <w:vAlign w:val="center"/>
          </w:tcPr>
          <w:p w14:paraId="10E5360B">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lang w:val="en-US" w:eastAsia="zh-CN"/>
              </w:rPr>
              <w:t>对服务质量、进度、安全保证措施，转运、填埋进度计划，服务人员及机械安排计划的针对性及可行性进行评审。横向对比，优秀的得10-15分，良好的得5-10分，差的得0-5</w:t>
            </w:r>
            <w:r>
              <w:rPr>
                <w:rFonts w:hint="eastAsia" w:ascii="宋体" w:hAnsi="宋体" w:eastAsia="宋体" w:cs="宋体"/>
                <w:color w:val="000000" w:themeColor="text1"/>
                <w:szCs w:val="21"/>
                <w14:textFill>
                  <w14:solidFill>
                    <w14:schemeClr w14:val="tx1"/>
                  </w14:solidFill>
                </w14:textFill>
              </w:rPr>
              <w:t>分</w:t>
            </w:r>
          </w:p>
        </w:tc>
      </w:tr>
      <w:tr w14:paraId="623CF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49" w:type="dxa"/>
            <w:gridSpan w:val="2"/>
            <w:tcBorders>
              <w:tl2br w:val="nil"/>
              <w:tr2bl w:val="nil"/>
            </w:tcBorders>
            <w:vAlign w:val="center"/>
          </w:tcPr>
          <w:p w14:paraId="6D5396F5">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675" w:type="dxa"/>
            <w:tcBorders>
              <w:tl2br w:val="nil"/>
              <w:tr2bl w:val="nil"/>
            </w:tcBorders>
            <w:vAlign w:val="center"/>
          </w:tcPr>
          <w:p w14:paraId="597F9CA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c>
          <w:tcPr>
            <w:tcW w:w="5036" w:type="dxa"/>
            <w:tcBorders>
              <w:tl2br w:val="nil"/>
              <w:tr2bl w:val="nil"/>
            </w:tcBorders>
            <w:vAlign w:val="center"/>
          </w:tcPr>
          <w:p w14:paraId="386BC954">
            <w:pPr>
              <w:jc w:val="center"/>
              <w:rPr>
                <w:rFonts w:ascii="宋体" w:hAnsi="宋体" w:eastAsia="宋体" w:cs="宋体"/>
                <w:color w:val="000000" w:themeColor="text1"/>
                <w:szCs w:val="21"/>
                <w14:textFill>
                  <w14:solidFill>
                    <w14:schemeClr w14:val="tx1"/>
                  </w14:solidFill>
                </w14:textFill>
              </w:rPr>
            </w:pPr>
          </w:p>
        </w:tc>
      </w:tr>
    </w:tbl>
    <w:p w14:paraId="1DBD9115"/>
    <w:p w14:paraId="23AE8C3A">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5" w:name="_Toc136173617"/>
      <w:bookmarkStart w:id="346" w:name="_Toc2195"/>
      <w:r>
        <w:rPr>
          <w:rFonts w:hint="eastAsia" w:ascii="宋体" w:hAnsi="宋体" w:cs="宋体"/>
          <w:color w:val="000000" w:themeColor="text1"/>
          <w:sz w:val="24"/>
          <w:szCs w:val="24"/>
          <w14:textFill>
            <w14:solidFill>
              <w14:schemeClr w14:val="tx1"/>
            </w14:solidFill>
          </w14:textFill>
        </w:rPr>
        <w:t>4.3 投标报价评分标准（满分60分）</w:t>
      </w:r>
      <w:bookmarkEnd w:id="345"/>
      <w:bookmarkEnd w:id="346"/>
    </w:p>
    <w:p w14:paraId="5F96090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4.3.1 有效报价</w:t>
      </w:r>
    </w:p>
    <w:p w14:paraId="2FA82DE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指通过评标委员会评审的投标报价，超过所有投标报价算数平均值的±40%的报价不作为有效报价，不计入基准价的计算。</w:t>
      </w:r>
    </w:p>
    <w:p w14:paraId="1153A11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4.3.2 评标基准价</w:t>
      </w:r>
    </w:p>
    <w:p w14:paraId="6B4400B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以所有有效报价的算数平均值的90%作为评标基准价。</w:t>
      </w:r>
    </w:p>
    <w:p w14:paraId="5B0227C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4.3.3 投标报价得分计算方法</w:t>
      </w:r>
    </w:p>
    <w:p w14:paraId="4BDFAE1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①投标人的报价等于评标基准价时得基本分55分。</w:t>
      </w:r>
    </w:p>
    <w:p w14:paraId="714A723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②报价低于基准价10％以内者（含10％），每低1％，在基本分55分的基础上加0.5分，最多加5分。</w:t>
      </w:r>
    </w:p>
    <w:p w14:paraId="639BEA7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③报价低于基准价10％以外者（不含10％），每再低1％，在满分60分的基础上扣0.5分，扣完为止。</w:t>
      </w:r>
    </w:p>
    <w:p w14:paraId="1CD5CF8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④报价高于基准价者，每高1％，在基本分55分的基础上扣0.5分，扣完为止。</w:t>
      </w:r>
    </w:p>
    <w:p w14:paraId="7F48BC5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⑤计分均取至小数点后两位（四舍五入）。</w:t>
      </w:r>
    </w:p>
    <w:p w14:paraId="5B9336E5">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7" w:name="_Toc21525"/>
      <w:bookmarkStart w:id="348" w:name="_Toc136173618"/>
      <w:r>
        <w:rPr>
          <w:rFonts w:hint="eastAsia" w:ascii="宋体" w:hAnsi="宋体" w:cs="宋体"/>
          <w:color w:val="000000" w:themeColor="text1"/>
          <w:sz w:val="24"/>
          <w:szCs w:val="24"/>
          <w14:textFill>
            <w14:solidFill>
              <w14:schemeClr w14:val="tx1"/>
            </w14:solidFill>
          </w14:textFill>
        </w:rPr>
        <w:t>4.4 评标结果</w:t>
      </w:r>
      <w:bookmarkEnd w:id="347"/>
      <w:bookmarkEnd w:id="348"/>
    </w:p>
    <w:p w14:paraId="0FA041A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4.4.1 评标委员会按照得分由高到低的顺序推荐中标候选人，并标明排序。</w:t>
      </w:r>
    </w:p>
    <w:p w14:paraId="1216C1C4">
      <w:pPr>
        <w:spacing w:line="360" w:lineRule="auto"/>
        <w:jc w:val="left"/>
        <w:rPr>
          <w:rFonts w:ascii="宋体" w:hAnsi="宋体" w:eastAsia="宋体" w:cs="宋体"/>
          <w:color w:val="000000" w:themeColor="text1"/>
          <w:szCs w:val="24"/>
          <w14:textFill>
            <w14:solidFill>
              <w14:schemeClr w14:val="tx1"/>
            </w14:solidFill>
          </w14:textFill>
        </w:rPr>
        <w:sectPr>
          <w:footerReference r:id="rId8" w:type="default"/>
          <w:pgSz w:w="12240" w:h="15840"/>
          <w:pgMar w:top="1134" w:right="1417" w:bottom="1134" w:left="1417" w:header="0" w:footer="921" w:gutter="0"/>
          <w:pgNumType w:fmt="decimal"/>
          <w:cols w:space="720" w:num="1"/>
        </w:sectPr>
      </w:pPr>
      <w:r>
        <w:rPr>
          <w:rFonts w:hint="eastAsia" w:ascii="宋体" w:hAnsi="宋体" w:eastAsia="宋体" w:cs="宋体"/>
          <w:color w:val="000000" w:themeColor="text1"/>
          <w:szCs w:val="24"/>
          <w14:textFill>
            <w14:solidFill>
              <w14:schemeClr w14:val="tx1"/>
            </w14:solidFill>
          </w14:textFill>
        </w:rPr>
        <w:t>4.4.2 评标委员会完成评标后向招标人提交书面评标报告和中标候选人名单。</w:t>
      </w:r>
    </w:p>
    <w:p w14:paraId="4ED5BE54">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49" w:name="_Toc28415"/>
      <w:bookmarkStart w:id="350" w:name="_Toc136173619"/>
      <w:r>
        <w:rPr>
          <w:rFonts w:hint="eastAsia" w:ascii="宋体" w:hAnsi="宋体" w:eastAsia="宋体" w:cs="宋体"/>
          <w:color w:val="000000" w:themeColor="text1"/>
          <w:sz w:val="32"/>
          <w:szCs w:val="32"/>
          <w14:textFill>
            <w14:solidFill>
              <w14:schemeClr w14:val="tx1"/>
            </w14:solidFill>
          </w14:textFill>
        </w:rPr>
        <w:t>第四章 合同主要条款及合同文本格式</w:t>
      </w:r>
      <w:bookmarkEnd w:id="349"/>
      <w:bookmarkEnd w:id="350"/>
    </w:p>
    <w:tbl>
      <w:tblPr>
        <w:tblStyle w:val="4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655"/>
      </w:tblGrid>
      <w:tr w14:paraId="05EFB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84" w:type="dxa"/>
            <w:tcBorders>
              <w:top w:val="single" w:color="auto" w:sz="4" w:space="0"/>
              <w:left w:val="single" w:color="auto" w:sz="4" w:space="0"/>
              <w:bottom w:val="single" w:color="auto" w:sz="4" w:space="0"/>
              <w:right w:val="single" w:color="auto" w:sz="4" w:space="0"/>
            </w:tcBorders>
            <w:vAlign w:val="center"/>
          </w:tcPr>
          <w:p w14:paraId="7733A047">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总体要求</w:t>
            </w:r>
          </w:p>
        </w:tc>
        <w:tc>
          <w:tcPr>
            <w:tcW w:w="7655" w:type="dxa"/>
            <w:tcBorders>
              <w:top w:val="single" w:color="auto" w:sz="4" w:space="0"/>
              <w:left w:val="single" w:color="auto" w:sz="4" w:space="0"/>
              <w:bottom w:val="single" w:color="auto" w:sz="4" w:space="0"/>
              <w:right w:val="single" w:color="auto" w:sz="4" w:space="0"/>
            </w:tcBorders>
            <w:vAlign w:val="center"/>
          </w:tcPr>
          <w:p w14:paraId="4FEA08E9">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定单价包括但不限于：人工费（含运输司机）、机具费（含运输及吊装机具等）、材料费（含药剂、膜等）、各类小型工器具费、机具及工器具维保费、卸车费、差旅费、食宿费、劳保用品费、外部协调费、人员与机械保险费、职业健康体检费、风险费（包括但不限于垃圾填埋场的施工难度、环境条件、周边外部人为因素影响等，如政府部门相关风险甲乙双方共同磋商解决）、临时设施费、填埋场各类日常常规监测费、填埋场应急管理费、填埋场运营材料费及水电费、垃圾清运费、安全文明和技术措施费、企业管理费、利润、税费等为完成本协议约定的工作内容所需的所有费用。</w:t>
            </w:r>
          </w:p>
          <w:p w14:paraId="697418AA">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（2）投标人必须按招标文件提供的报价表格进行报价。投标报价必须注明税率税种。</w:t>
            </w:r>
          </w:p>
          <w:p w14:paraId="5B43ED09">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（3）住宿由投标人自理，招标人不提供食堂，投标人饮食费用自理；上述费用投标人应综合考虑在投标报价中。</w:t>
            </w:r>
          </w:p>
          <w:p w14:paraId="1779A65A">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（4）除非合同中另有规定，投标报价应为本标发生的各项应有费用总和，其中包括场车辆费、管理费、人工费、差旅费、税费等全部费用等。</w:t>
            </w:r>
          </w:p>
          <w:p w14:paraId="7AE67E3B">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（5）其他报价要求详见招标文件及招标文件附件。</w:t>
            </w:r>
          </w:p>
        </w:tc>
      </w:tr>
      <w:tr w14:paraId="4C890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84" w:type="dxa"/>
            <w:tcBorders>
              <w:top w:val="single" w:color="auto" w:sz="4" w:space="0"/>
              <w:left w:val="single" w:color="auto" w:sz="4" w:space="0"/>
              <w:bottom w:val="single" w:color="auto" w:sz="4" w:space="0"/>
              <w:right w:val="single" w:color="auto" w:sz="4" w:space="0"/>
            </w:tcBorders>
            <w:vAlign w:val="center"/>
          </w:tcPr>
          <w:p w14:paraId="11177989">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发票种类</w:t>
            </w:r>
          </w:p>
        </w:tc>
        <w:tc>
          <w:tcPr>
            <w:tcW w:w="7655" w:type="dxa"/>
            <w:tcBorders>
              <w:top w:val="single" w:color="auto" w:sz="4" w:space="0"/>
              <w:left w:val="single" w:color="auto" w:sz="4" w:space="0"/>
              <w:bottom w:val="single" w:color="auto" w:sz="4" w:space="0"/>
              <w:right w:val="single" w:color="auto" w:sz="4" w:space="0"/>
            </w:tcBorders>
            <w:vAlign w:val="center"/>
          </w:tcPr>
          <w:p w14:paraId="00CB2131">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%增值税专用发票（增值税发票）。</w:t>
            </w:r>
          </w:p>
        </w:tc>
      </w:tr>
      <w:tr w14:paraId="3187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4" w:type="dxa"/>
            <w:tcBorders>
              <w:top w:val="single" w:color="auto" w:sz="4" w:space="0"/>
              <w:left w:val="single" w:color="auto" w:sz="4" w:space="0"/>
              <w:bottom w:val="single" w:color="auto" w:sz="4" w:space="0"/>
              <w:right w:val="single" w:color="auto" w:sz="4" w:space="0"/>
            </w:tcBorders>
            <w:vAlign w:val="center"/>
          </w:tcPr>
          <w:p w14:paraId="5C69774A">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01E2E94">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取比例：2%,说明：合同总价的2%作为履约保证金（或履约保函），落实比例，在正式签订协议前向甲方提交履约保证金或有资质的担保公司、银行出具的履约保函。在乙方完成全部服务后，甲方无息退还履约保证金或解除履约担保。</w:t>
            </w:r>
          </w:p>
          <w:p w14:paraId="15E7DDE1">
            <w:pPr>
              <w:snapToGrid w:val="0"/>
              <w:spacing w:line="360" w:lineRule="auto"/>
              <w:rPr>
                <w:rFonts w:ascii="宋体" w:hAnsi="宋体" w:eastAsia="宋体" w:cs="宋体"/>
                <w:color w:val="000000" w:themeColor="text1"/>
                <w:sz w:val="21"/>
                <w:szCs w:val="21"/>
                <w14:textFill>
                  <w14:solidFill>
                    <w14:schemeClr w14:val="tx1"/>
                  </w14:solidFill>
                </w14:textFill>
              </w:rPr>
            </w:pPr>
          </w:p>
        </w:tc>
      </w:tr>
      <w:tr w14:paraId="29F2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384" w:type="dxa"/>
            <w:tcBorders>
              <w:top w:val="single" w:color="auto" w:sz="4" w:space="0"/>
              <w:left w:val="single" w:color="auto" w:sz="4" w:space="0"/>
              <w:bottom w:val="single" w:color="auto" w:sz="4" w:space="0"/>
              <w:right w:val="single" w:color="auto" w:sz="4" w:space="0"/>
            </w:tcBorders>
            <w:vAlign w:val="center"/>
          </w:tcPr>
          <w:p w14:paraId="67B9003D">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时间及地点</w:t>
            </w:r>
          </w:p>
        </w:tc>
        <w:tc>
          <w:tcPr>
            <w:tcW w:w="7655" w:type="dxa"/>
            <w:tcBorders>
              <w:top w:val="single" w:color="auto" w:sz="4" w:space="0"/>
              <w:left w:val="single" w:color="auto" w:sz="4" w:space="0"/>
              <w:bottom w:val="single" w:color="auto" w:sz="4" w:space="0"/>
              <w:right w:val="single" w:color="auto" w:sz="4" w:space="0"/>
            </w:tcBorders>
            <w:vAlign w:val="center"/>
          </w:tcPr>
          <w:p w14:paraId="1EF33FE5">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lang w:val="en-US" w:eastAsia="zh-CN"/>
                <w14:textFill>
                  <w14:solidFill>
                    <w14:schemeClr w14:val="tx1"/>
                  </w14:solidFill>
                </w14:textFill>
              </w:rPr>
              <w:t>1年，</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年9月1日至202</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年8月31日。</w:t>
            </w:r>
            <w:r>
              <w:rPr>
                <w:rFonts w:hint="eastAsia" w:ascii="宋体" w:hAnsi="宋体" w:eastAsia="宋体" w:cs="宋体"/>
                <w:color w:val="000000" w:themeColor="text1"/>
                <w:sz w:val="21"/>
                <w:szCs w:val="21"/>
                <w:lang w:val="en-US" w:eastAsia="zh-CN"/>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方每次进场时间以</w:t>
            </w:r>
            <w:r>
              <w:rPr>
                <w:rFonts w:hint="eastAsia" w:ascii="宋体" w:hAnsi="宋体" w:eastAsia="宋体" w:cs="宋体"/>
                <w:color w:val="000000" w:themeColor="text1"/>
                <w:sz w:val="21"/>
                <w:szCs w:val="21"/>
                <w:lang w:val="en-US" w:eastAsia="zh-CN"/>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方开工令时间为准</w:t>
            </w:r>
            <w:r>
              <w:rPr>
                <w:rFonts w:hint="eastAsia" w:ascii="宋体" w:hAnsi="宋体" w:eastAsia="宋体" w:cs="宋体"/>
                <w:color w:val="000000" w:themeColor="text1"/>
                <w:sz w:val="21"/>
                <w:szCs w:val="21"/>
                <w:lang w:eastAsia="zh-CN"/>
                <w14:textFill>
                  <w14:solidFill>
                    <w14:schemeClr w14:val="tx1"/>
                  </w14:solidFill>
                </w14:textFill>
              </w:rPr>
              <w:t>。</w:t>
            </w:r>
          </w:p>
          <w:p w14:paraId="6C72B81D">
            <w:pPr>
              <w:snapToGrid w:val="0"/>
              <w:spacing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交货地点：</w:t>
            </w:r>
            <w:r>
              <w:rPr>
                <w:rFonts w:hint="eastAsia" w:ascii="宋体" w:hAnsi="宋体" w:eastAsia="宋体" w:cs="宋体"/>
                <w:color w:val="000000" w:themeColor="text1"/>
                <w:sz w:val="21"/>
                <w:szCs w:val="21"/>
                <w:u w:val="single"/>
                <w14:textFill>
                  <w14:solidFill>
                    <w14:schemeClr w14:val="tx1"/>
                  </w14:solidFill>
                </w14:textFill>
              </w:rPr>
              <w:t xml:space="preserve"> 本项目所在地 </w:t>
            </w:r>
          </w:p>
        </w:tc>
      </w:tr>
      <w:tr w14:paraId="013B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84" w:type="dxa"/>
            <w:tcBorders>
              <w:top w:val="single" w:color="auto" w:sz="4" w:space="0"/>
              <w:left w:val="single" w:color="auto" w:sz="4" w:space="0"/>
              <w:bottom w:val="single" w:color="auto" w:sz="4" w:space="0"/>
              <w:right w:val="single" w:color="auto" w:sz="4" w:space="0"/>
            </w:tcBorders>
            <w:vAlign w:val="center"/>
          </w:tcPr>
          <w:p w14:paraId="0014C71B">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付款条件</w:t>
            </w:r>
          </w:p>
        </w:tc>
        <w:tc>
          <w:tcPr>
            <w:tcW w:w="7655" w:type="dxa"/>
            <w:tcBorders>
              <w:top w:val="single" w:color="auto" w:sz="4" w:space="0"/>
              <w:left w:val="single" w:color="auto" w:sz="4" w:space="0"/>
              <w:bottom w:val="single" w:color="auto" w:sz="4" w:space="0"/>
              <w:right w:val="single" w:color="auto" w:sz="4" w:space="0"/>
            </w:tcBorders>
            <w:vAlign w:val="center"/>
          </w:tcPr>
          <w:p w14:paraId="7C2CFCB7">
            <w:pPr>
              <w:spacing w:line="360" w:lineRule="auto"/>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本项目合同款以月度为支付节点。每月 5 日（国家法定节假日顺延），</w:t>
            </w:r>
            <w:r>
              <w:rPr>
                <w:rFonts w:hint="eastAsia" w:ascii="宋体" w:hAnsi="宋体" w:eastAsia="宋体" w:cs="宋体"/>
                <w:color w:val="000000" w:themeColor="text1"/>
                <w:sz w:val="21"/>
                <w:szCs w:val="21"/>
                <w:lang w:val="en-US" w:eastAsia="zh-CN"/>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方将上月经双方签证认可的飞灰运输重量统计表及等额有效的增值税发票汇总报送甲方。</w:t>
            </w:r>
            <w:r>
              <w:rPr>
                <w:rFonts w:hint="eastAsia" w:ascii="宋体" w:hAnsi="宋体" w:eastAsia="宋体" w:cs="宋体"/>
                <w:color w:val="000000" w:themeColor="text1"/>
                <w:sz w:val="21"/>
                <w:szCs w:val="21"/>
                <w:lang w:val="en-US" w:eastAsia="zh-CN"/>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方自收到</w:t>
            </w:r>
            <w:r>
              <w:rPr>
                <w:rFonts w:hint="eastAsia" w:ascii="宋体" w:hAnsi="宋体" w:eastAsia="宋体" w:cs="宋体"/>
                <w:color w:val="000000" w:themeColor="text1"/>
                <w:sz w:val="21"/>
                <w:szCs w:val="21"/>
                <w:lang w:val="en-US" w:eastAsia="zh-CN"/>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方提交的结算单据并确认支付金额后的 20 个工作日内向乙方支付上月的飞灰固化处理费用95%，剩余5%作为安全保证金约定，安全保证金在乙方完成每年全部服务后，甲方完成对乙方服务的考核工作后， 15个工作日无息返还。</w:t>
            </w:r>
          </w:p>
          <w:p w14:paraId="0777151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2）每次按合同支付款项前，乙方应向甲方提供与支付金额相符的合法有效完整的完税发票及凭证资料，且收款方、出具发票方、合同乙方均必须与乙方名称一致。</w:t>
            </w:r>
          </w:p>
          <w:p w14:paraId="4CBBB35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月服务费=月实际填埋飞灰量×固定单价</w:t>
            </w:r>
          </w:p>
          <w:p w14:paraId="23A5E1A5">
            <w:pPr>
              <w:spacing w:line="360" w:lineRule="auto"/>
              <w:rPr>
                <w:rFonts w:ascii="宋体" w:hAnsi="宋体" w:eastAsia="宋体" w:cs="宋体"/>
                <w:color w:val="000000" w:themeColor="text1"/>
                <w:sz w:val="21"/>
                <w:szCs w:val="21"/>
                <w14:textFill>
                  <w14:solidFill>
                    <w14:schemeClr w14:val="tx1"/>
                  </w14:solidFill>
                </w14:textFill>
              </w:rPr>
            </w:pPr>
          </w:p>
        </w:tc>
      </w:tr>
    </w:tbl>
    <w:p w14:paraId="30C5C713">
      <w:pPr>
        <w:autoSpaceDE w:val="0"/>
        <w:autoSpaceDN w:val="0"/>
        <w:spacing w:after="100" w:afterAutospacing="1" w:line="360" w:lineRule="auto"/>
        <w:jc w:val="center"/>
        <w:rPr>
          <w:rFonts w:hint="eastAsia" w:ascii="宋体" w:hAnsi="宋体" w:cs="宋体"/>
          <w:color w:val="000000" w:themeColor="text1"/>
          <w:sz w:val="24"/>
          <w:szCs w:val="24"/>
          <w14:textFill>
            <w14:solidFill>
              <w14:schemeClr w14:val="tx1"/>
            </w14:solidFill>
          </w14:textFill>
        </w:rPr>
      </w:pPr>
      <w:bookmarkStart w:id="351" w:name="_Toc136173620"/>
      <w:bookmarkStart w:id="352" w:name="_Toc14750"/>
      <w:r>
        <w:rPr>
          <w:rFonts w:hint="eastAsia" w:ascii="宋体" w:hAnsi="宋体" w:cs="宋体"/>
          <w:color w:val="000000" w:themeColor="text1"/>
          <w:sz w:val="24"/>
          <w:szCs w:val="24"/>
          <w14:textFill>
            <w14:solidFill>
              <w14:schemeClr w14:val="tx1"/>
            </w14:solidFill>
          </w14:textFill>
        </w:rPr>
        <w:t>详见附件4-1： 《</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高州市金坑飞灰填埋场运营管理服务合同</w:t>
      </w:r>
      <w:r>
        <w:rPr>
          <w:rFonts w:hint="eastAsia" w:ascii="宋体" w:hAnsi="宋体" w:cs="宋体"/>
          <w:color w:val="000000" w:themeColor="text1"/>
          <w:sz w:val="24"/>
          <w:szCs w:val="24"/>
          <w14:textFill>
            <w14:solidFill>
              <w14:schemeClr w14:val="tx1"/>
            </w14:solidFill>
          </w14:textFill>
        </w:rPr>
        <w:t>》</w:t>
      </w:r>
      <w:bookmarkEnd w:id="8"/>
      <w:bookmarkEnd w:id="9"/>
      <w:bookmarkEnd w:id="10"/>
      <w:bookmarkEnd w:id="11"/>
      <w:bookmarkEnd w:id="12"/>
      <w:bookmarkEnd w:id="13"/>
      <w:bookmarkEnd w:id="14"/>
      <w:bookmarkEnd w:id="351"/>
      <w:bookmarkEnd w:id="352"/>
    </w:p>
    <w:p w14:paraId="1418878D">
      <w:pPr>
        <w:autoSpaceDE w:val="0"/>
        <w:autoSpaceDN w:val="0"/>
        <w:spacing w:after="100" w:afterAutospacing="1" w:line="360" w:lineRule="auto"/>
        <w:jc w:val="center"/>
        <w:rPr>
          <w:rFonts w:hint="eastAsia" w:ascii="宋体" w:hAnsi="宋体" w:cs="宋体"/>
          <w:color w:val="000000" w:themeColor="text1"/>
          <w:sz w:val="24"/>
          <w:szCs w:val="24"/>
          <w14:textFill>
            <w14:solidFill>
              <w14:schemeClr w14:val="tx1"/>
            </w14:solidFill>
          </w14:textFill>
        </w:rPr>
      </w:pPr>
    </w:p>
    <w:p w14:paraId="37E8B2F3">
      <w:pPr>
        <w:ind w:firstLine="5123" w:firstLineChars="2500"/>
        <w:jc w:val="right"/>
        <w:rPr>
          <w:rFonts w:hint="eastAsia" w:ascii="宋体" w:hAnsi="宋体" w:eastAsia="宋体" w:cs="宋体"/>
          <w:b/>
          <w:bCs/>
          <w:spacing w:val="-18"/>
          <w:sz w:val="24"/>
          <w:lang w:val="en-US" w:eastAsia="zh-CN"/>
        </w:rPr>
      </w:pPr>
      <w:r>
        <w:rPr>
          <w:rFonts w:ascii="宋体" w:hAnsi="宋体" w:eastAsia="宋体" w:cs="宋体"/>
          <w:b/>
          <w:bCs/>
          <w:spacing w:val="-18"/>
          <w:sz w:val="24"/>
        </w:rPr>
        <w:t>合同编号：</w:t>
      </w:r>
      <w:bookmarkStart w:id="353" w:name="_Hlk141272846"/>
      <w:r>
        <w:rPr>
          <w:rFonts w:ascii="宋体" w:hAnsi="宋体" w:eastAsia="宋体" w:cs="宋体"/>
          <w:b/>
          <w:bCs/>
          <w:spacing w:val="-18"/>
          <w:sz w:val="24"/>
        </w:rPr>
        <w:t>LK-GZFD-YY-fw-202</w:t>
      </w:r>
      <w:r>
        <w:rPr>
          <w:rFonts w:hint="eastAsia" w:ascii="宋体" w:hAnsi="宋体" w:eastAsia="宋体" w:cs="宋体"/>
          <w:b/>
          <w:bCs/>
          <w:spacing w:val="-18"/>
          <w:sz w:val="24"/>
          <w:lang w:val="en-US" w:eastAsia="zh-CN"/>
        </w:rPr>
        <w:t>5</w:t>
      </w:r>
      <w:r>
        <w:rPr>
          <w:rFonts w:ascii="宋体" w:hAnsi="宋体" w:eastAsia="宋体" w:cs="宋体"/>
          <w:b/>
          <w:bCs/>
          <w:spacing w:val="-18"/>
          <w:sz w:val="24"/>
        </w:rPr>
        <w:t>-0</w:t>
      </w:r>
      <w:bookmarkEnd w:id="353"/>
    </w:p>
    <w:p w14:paraId="07B9A336">
      <w:pPr>
        <w:ind w:firstLine="10601" w:firstLineChars="2200"/>
        <w:rPr>
          <w:rFonts w:ascii="宋体" w:hAnsi="宋体" w:eastAsia="宋体" w:cs="宋体"/>
          <w:b/>
          <w:bCs/>
          <w:sz w:val="48"/>
          <w:szCs w:val="48"/>
        </w:rPr>
      </w:pPr>
    </w:p>
    <w:p w14:paraId="7BA84F95">
      <w:pPr>
        <w:jc w:val="center"/>
        <w:rPr>
          <w:rStyle w:val="123"/>
          <w:rFonts w:ascii="宋体" w:hAnsi="宋体" w:eastAsia="宋体" w:cs="宋体"/>
          <w:b/>
          <w:bCs/>
          <w:sz w:val="48"/>
          <w:szCs w:val="48"/>
        </w:rPr>
      </w:pPr>
      <w:r>
        <w:rPr>
          <w:rStyle w:val="123"/>
          <w:rFonts w:hint="eastAsia" w:ascii="宋体" w:hAnsi="宋体" w:eastAsia="宋体" w:cs="宋体"/>
          <w:b/>
          <w:bCs/>
          <w:sz w:val="48"/>
          <w:szCs w:val="48"/>
        </w:rPr>
        <w:t>朗坤环保能源（茂名）有限公司</w:t>
      </w:r>
    </w:p>
    <w:p w14:paraId="5A1394C6">
      <w:pPr>
        <w:jc w:val="center"/>
        <w:rPr>
          <w:rFonts w:ascii="宋体" w:hAnsi="宋体" w:eastAsia="宋体" w:cs="宋体"/>
          <w:b/>
          <w:bCs/>
          <w:sz w:val="48"/>
          <w:szCs w:val="48"/>
        </w:rPr>
      </w:pPr>
    </w:p>
    <w:p w14:paraId="24A74C9C">
      <w:pPr>
        <w:autoSpaceDE w:val="0"/>
        <w:autoSpaceDN w:val="0"/>
        <w:spacing w:after="100" w:afterAutospacing="1" w:line="360" w:lineRule="auto"/>
        <w:jc w:val="center"/>
        <w:rPr>
          <w:rFonts w:ascii="宋体" w:hAnsi="宋体" w:eastAsia="宋体"/>
          <w:b/>
          <w:bCs/>
          <w:kern w:val="0"/>
          <w:sz w:val="44"/>
          <w:szCs w:val="44"/>
        </w:rPr>
      </w:pPr>
      <w:r>
        <w:rPr>
          <w:rFonts w:hint="eastAsia" w:ascii="宋体" w:hAnsi="宋体" w:eastAsia="宋体"/>
          <w:b/>
          <w:bCs/>
          <w:kern w:val="0"/>
          <w:sz w:val="44"/>
          <w:szCs w:val="44"/>
        </w:rPr>
        <w:t>高州市金坑飞灰填埋场</w:t>
      </w:r>
    </w:p>
    <w:p w14:paraId="487C93A2">
      <w:pPr>
        <w:autoSpaceDE w:val="0"/>
        <w:autoSpaceDN w:val="0"/>
        <w:spacing w:after="100" w:afterAutospacing="1" w:line="360" w:lineRule="auto"/>
        <w:jc w:val="center"/>
        <w:rPr>
          <w:rFonts w:ascii="宋体" w:hAnsi="宋体" w:eastAsia="宋体"/>
          <w:b/>
          <w:bCs/>
          <w:kern w:val="0"/>
          <w:sz w:val="44"/>
          <w:szCs w:val="44"/>
        </w:rPr>
      </w:pPr>
      <w:r>
        <w:rPr>
          <w:rFonts w:hint="eastAsia" w:ascii="宋体" w:hAnsi="宋体" w:eastAsia="宋体"/>
          <w:b/>
          <w:bCs/>
          <w:kern w:val="0"/>
          <w:sz w:val="44"/>
          <w:szCs w:val="44"/>
        </w:rPr>
        <w:t>运营管理服务合同</w:t>
      </w:r>
    </w:p>
    <w:p w14:paraId="57DD3A68">
      <w:pPr>
        <w:rPr>
          <w:rFonts w:ascii="宋体" w:hAnsi="宋体" w:eastAsia="宋体"/>
          <w:b/>
          <w:sz w:val="24"/>
        </w:rPr>
      </w:pPr>
    </w:p>
    <w:p w14:paraId="2717FC70">
      <w:pPr>
        <w:rPr>
          <w:rFonts w:ascii="宋体" w:hAnsi="宋体" w:eastAsia="宋体"/>
          <w:sz w:val="24"/>
        </w:rPr>
      </w:pPr>
    </w:p>
    <w:p w14:paraId="2EF1F297">
      <w:pPr>
        <w:spacing w:line="360" w:lineRule="auto"/>
        <w:rPr>
          <w:rFonts w:ascii="宋体" w:hAnsi="宋体" w:eastAsia="宋体"/>
          <w:szCs w:val="21"/>
        </w:rPr>
      </w:pPr>
    </w:p>
    <w:p w14:paraId="166124F3">
      <w:pPr>
        <w:rPr>
          <w:rFonts w:ascii="宋体" w:hAnsi="宋体" w:eastAsia="宋体"/>
          <w:sz w:val="24"/>
          <w:u w:val="single"/>
        </w:rPr>
      </w:pPr>
    </w:p>
    <w:p w14:paraId="2E399DD2">
      <w:pPr>
        <w:rPr>
          <w:rFonts w:ascii="宋体" w:hAnsi="宋体" w:eastAsia="宋体"/>
          <w:sz w:val="24"/>
          <w:u w:val="single"/>
        </w:rPr>
      </w:pPr>
    </w:p>
    <w:p w14:paraId="0C22AE97">
      <w:pPr>
        <w:rPr>
          <w:rFonts w:ascii="宋体" w:hAnsi="宋体" w:eastAsia="宋体"/>
          <w:sz w:val="24"/>
          <w:u w:val="single"/>
        </w:rPr>
      </w:pPr>
    </w:p>
    <w:p w14:paraId="3B17B051">
      <w:pPr>
        <w:rPr>
          <w:rFonts w:ascii="宋体" w:hAnsi="宋体" w:eastAsia="宋体"/>
          <w:sz w:val="24"/>
          <w:u w:val="single"/>
        </w:rPr>
      </w:pPr>
    </w:p>
    <w:p w14:paraId="2E3CF693">
      <w:pPr>
        <w:rPr>
          <w:rFonts w:ascii="宋体" w:hAnsi="宋体" w:eastAsia="宋体"/>
          <w:sz w:val="24"/>
          <w:u w:val="single"/>
        </w:rPr>
      </w:pPr>
    </w:p>
    <w:p w14:paraId="3D598860">
      <w:pPr>
        <w:rPr>
          <w:rFonts w:ascii="宋体" w:hAnsi="宋体" w:eastAsia="宋体"/>
          <w:sz w:val="24"/>
          <w:u w:val="single"/>
        </w:rPr>
      </w:pPr>
    </w:p>
    <w:p w14:paraId="290971CB">
      <w:pPr>
        <w:rPr>
          <w:rFonts w:ascii="宋体" w:hAnsi="宋体" w:eastAsia="宋体"/>
          <w:sz w:val="24"/>
          <w:u w:val="single"/>
        </w:rPr>
      </w:pPr>
    </w:p>
    <w:p w14:paraId="184D0DD6">
      <w:pPr>
        <w:rPr>
          <w:rFonts w:ascii="宋体" w:hAnsi="宋体" w:eastAsia="宋体"/>
          <w:sz w:val="24"/>
          <w:u w:val="single"/>
        </w:rPr>
      </w:pPr>
    </w:p>
    <w:p w14:paraId="3CA58B1F">
      <w:pPr>
        <w:rPr>
          <w:rFonts w:ascii="宋体" w:hAnsi="宋体" w:eastAsia="宋体"/>
          <w:sz w:val="24"/>
          <w:u w:val="single"/>
        </w:rPr>
      </w:pPr>
    </w:p>
    <w:p w14:paraId="6E0749B4">
      <w:pPr>
        <w:rPr>
          <w:rFonts w:ascii="宋体" w:hAnsi="宋体" w:eastAsia="宋体"/>
          <w:sz w:val="24"/>
          <w:u w:val="single"/>
        </w:rPr>
      </w:pPr>
    </w:p>
    <w:p w14:paraId="2336F2ED">
      <w:pPr>
        <w:rPr>
          <w:rFonts w:ascii="宋体" w:hAnsi="宋体" w:eastAsia="宋体"/>
          <w:sz w:val="24"/>
          <w:u w:val="single"/>
        </w:rPr>
      </w:pPr>
    </w:p>
    <w:p w14:paraId="75416266">
      <w:pPr>
        <w:rPr>
          <w:rFonts w:ascii="宋体" w:hAnsi="宋体" w:eastAsia="宋体"/>
          <w:sz w:val="24"/>
          <w:u w:val="single"/>
        </w:rPr>
      </w:pPr>
    </w:p>
    <w:p w14:paraId="34AAF521">
      <w:pPr>
        <w:ind w:firstLine="320" w:firstLineChars="100"/>
        <w:rPr>
          <w:rFonts w:ascii="宋体" w:hAnsi="宋体" w:eastAsia="宋体" w:cs="宋体"/>
          <w:bCs/>
          <w:sz w:val="32"/>
          <w:szCs w:val="32"/>
          <w:u w:val="single"/>
        </w:rPr>
      </w:pPr>
      <w:r>
        <w:rPr>
          <w:rFonts w:hint="eastAsia" w:ascii="宋体" w:hAnsi="宋体" w:eastAsia="宋体" w:cs="宋体"/>
          <w:bCs/>
          <w:sz w:val="32"/>
          <w:szCs w:val="32"/>
        </w:rPr>
        <w:t>项目名称：</w:t>
      </w:r>
      <w:bookmarkStart w:id="354" w:name="_Hlk141272875"/>
      <w:r>
        <w:rPr>
          <w:rFonts w:hint="eastAsia" w:ascii="宋体" w:hAnsi="宋体" w:eastAsia="宋体" w:cs="宋体"/>
          <w:bCs/>
          <w:sz w:val="32"/>
          <w:szCs w:val="32"/>
          <w:u w:val="single"/>
        </w:rPr>
        <w:t>高</w:t>
      </w:r>
      <w:bookmarkStart w:id="355" w:name="_Hlk120720946"/>
      <w:r>
        <w:rPr>
          <w:rFonts w:hint="eastAsia" w:ascii="宋体" w:hAnsi="宋体" w:eastAsia="宋体" w:cs="宋体"/>
          <w:bCs/>
          <w:sz w:val="32"/>
          <w:szCs w:val="32"/>
          <w:u w:val="single"/>
        </w:rPr>
        <w:t>州市</w:t>
      </w:r>
      <w:bookmarkEnd w:id="354"/>
      <w:bookmarkEnd w:id="355"/>
      <w:r>
        <w:rPr>
          <w:rFonts w:hint="eastAsia" w:ascii="宋体" w:hAnsi="宋体" w:eastAsia="宋体" w:cs="宋体"/>
          <w:bCs/>
          <w:sz w:val="32"/>
          <w:szCs w:val="32"/>
          <w:u w:val="single"/>
          <w:lang w:val="en-US" w:eastAsia="zh-CN"/>
        </w:rPr>
        <w:t>绿能环保发电项目</w:t>
      </w:r>
      <w:r>
        <w:rPr>
          <w:rFonts w:hint="eastAsia" w:ascii="宋体" w:hAnsi="宋体" w:eastAsia="宋体" w:cs="宋体"/>
          <w:bCs/>
          <w:sz w:val="32"/>
          <w:szCs w:val="32"/>
          <w:u w:val="single"/>
        </w:rPr>
        <w:t xml:space="preserve">  </w:t>
      </w:r>
      <w:r>
        <w:rPr>
          <w:rFonts w:ascii="宋体" w:hAnsi="宋体" w:eastAsia="宋体" w:cs="宋体"/>
          <w:bCs/>
          <w:sz w:val="32"/>
          <w:szCs w:val="32"/>
          <w:u w:val="single"/>
        </w:rPr>
        <w:t xml:space="preserve">    </w:t>
      </w:r>
      <w:r>
        <w:rPr>
          <w:rFonts w:hint="eastAsia" w:ascii="宋体" w:hAnsi="宋体" w:eastAsia="宋体" w:cs="宋体"/>
          <w:bCs/>
          <w:sz w:val="32"/>
          <w:szCs w:val="32"/>
          <w:u w:val="single"/>
        </w:rPr>
        <w:t xml:space="preserve"> </w:t>
      </w:r>
      <w:r>
        <w:rPr>
          <w:rFonts w:ascii="宋体" w:hAnsi="宋体" w:eastAsia="宋体" w:cs="宋体"/>
          <w:bCs/>
          <w:sz w:val="32"/>
          <w:szCs w:val="32"/>
          <w:u w:val="single"/>
        </w:rPr>
        <w:t xml:space="preserve">    </w:t>
      </w:r>
    </w:p>
    <w:p w14:paraId="20B26AAD">
      <w:pPr>
        <w:ind w:firstLine="320" w:firstLineChars="100"/>
        <w:rPr>
          <w:rFonts w:ascii="宋体" w:hAnsi="宋体" w:eastAsia="宋体" w:cs="宋体"/>
          <w:bCs/>
          <w:sz w:val="32"/>
          <w:szCs w:val="32"/>
          <w:u w:val="single"/>
        </w:rPr>
      </w:pPr>
      <w:r>
        <w:rPr>
          <w:rFonts w:hint="eastAsia" w:ascii="宋体" w:hAnsi="宋体" w:eastAsia="宋体" w:cs="宋体"/>
          <w:bCs/>
          <w:sz w:val="32"/>
          <w:szCs w:val="32"/>
        </w:rPr>
        <w:t xml:space="preserve">甲 </w:t>
      </w:r>
      <w:r>
        <w:rPr>
          <w:rFonts w:ascii="宋体" w:hAnsi="宋体" w:eastAsia="宋体" w:cs="宋体"/>
          <w:bCs/>
          <w:sz w:val="32"/>
          <w:szCs w:val="32"/>
        </w:rPr>
        <w:t xml:space="preserve">   </w:t>
      </w:r>
      <w:r>
        <w:rPr>
          <w:rFonts w:hint="eastAsia" w:ascii="宋体" w:hAnsi="宋体" w:eastAsia="宋体" w:cs="宋体"/>
          <w:bCs/>
          <w:sz w:val="32"/>
          <w:szCs w:val="32"/>
        </w:rPr>
        <w:t>方：</w:t>
      </w:r>
      <w:r>
        <w:rPr>
          <w:rFonts w:hint="eastAsia" w:ascii="宋体" w:hAnsi="宋体" w:eastAsia="宋体" w:cs="宋体"/>
          <w:sz w:val="32"/>
          <w:szCs w:val="32"/>
          <w:u w:val="single"/>
        </w:rPr>
        <w:t>朗坤环保能源（茂名）有限公司</w:t>
      </w:r>
      <w:r>
        <w:rPr>
          <w:rFonts w:hint="eastAsia" w:ascii="宋体" w:hAnsi="宋体" w:eastAsia="宋体" w:cs="宋体"/>
          <w:bCs/>
          <w:sz w:val="32"/>
          <w:szCs w:val="32"/>
          <w:u w:val="single"/>
        </w:rPr>
        <w:t xml:space="preserve"> </w:t>
      </w:r>
      <w:r>
        <w:rPr>
          <w:rFonts w:ascii="宋体" w:hAnsi="宋体" w:eastAsia="宋体" w:cs="宋体"/>
          <w:bCs/>
          <w:sz w:val="32"/>
          <w:szCs w:val="32"/>
          <w:u w:val="single"/>
        </w:rPr>
        <w:t xml:space="preserve">    </w:t>
      </w:r>
    </w:p>
    <w:p w14:paraId="34AFDEDD">
      <w:pPr>
        <w:ind w:firstLine="320" w:firstLineChars="100"/>
        <w:rPr>
          <w:rFonts w:ascii="宋体" w:hAnsi="宋体" w:eastAsia="宋体" w:cs="宋体"/>
          <w:bCs/>
          <w:sz w:val="32"/>
          <w:szCs w:val="32"/>
          <w:u w:val="single"/>
        </w:rPr>
      </w:pPr>
      <w:r>
        <w:rPr>
          <w:rFonts w:hint="eastAsia" w:ascii="宋体" w:hAnsi="宋体" w:eastAsia="宋体" w:cs="宋体"/>
          <w:bCs/>
          <w:sz w:val="32"/>
          <w:szCs w:val="32"/>
        </w:rPr>
        <w:t xml:space="preserve">乙 </w:t>
      </w:r>
      <w:r>
        <w:rPr>
          <w:rFonts w:ascii="宋体" w:hAnsi="宋体" w:eastAsia="宋体" w:cs="宋体"/>
          <w:bCs/>
          <w:sz w:val="32"/>
          <w:szCs w:val="32"/>
        </w:rPr>
        <w:t xml:space="preserve">   </w:t>
      </w:r>
      <w:r>
        <w:rPr>
          <w:rFonts w:hint="eastAsia" w:ascii="宋体" w:hAnsi="宋体" w:eastAsia="宋体" w:cs="宋体"/>
          <w:bCs/>
          <w:sz w:val="32"/>
          <w:szCs w:val="32"/>
        </w:rPr>
        <w:t>方：</w:t>
      </w:r>
      <w:r>
        <w:rPr>
          <w:rFonts w:hint="eastAsia" w:ascii="宋体" w:hAnsi="宋体" w:eastAsia="宋体" w:cs="宋体"/>
          <w:bCs/>
          <w:sz w:val="32"/>
          <w:szCs w:val="32"/>
          <w:u w:val="single"/>
        </w:rPr>
        <w:t xml:space="preserve">  </w:t>
      </w:r>
      <w:r>
        <w:rPr>
          <w:rFonts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r>
        <w:rPr>
          <w:rFonts w:ascii="宋体" w:hAnsi="宋体" w:eastAsia="宋体" w:cs="宋体"/>
          <w:bCs/>
          <w:sz w:val="32"/>
          <w:szCs w:val="32"/>
          <w:u w:val="single"/>
        </w:rPr>
        <w:t xml:space="preserve">  </w:t>
      </w:r>
    </w:p>
    <w:p w14:paraId="77278F53">
      <w:pPr>
        <w:ind w:firstLine="320" w:firstLineChars="100"/>
        <w:rPr>
          <w:rFonts w:ascii="宋体" w:hAnsi="宋体" w:eastAsia="宋体" w:cs="宋体"/>
          <w:bCs/>
          <w:sz w:val="32"/>
          <w:szCs w:val="32"/>
          <w:u w:val="single"/>
        </w:rPr>
      </w:pPr>
    </w:p>
    <w:p w14:paraId="61012854">
      <w:pPr>
        <w:ind w:firstLine="320" w:firstLineChars="100"/>
        <w:rPr>
          <w:rFonts w:ascii="宋体" w:hAnsi="宋体" w:eastAsia="宋体" w:cs="宋体"/>
          <w:bCs/>
          <w:sz w:val="32"/>
          <w:szCs w:val="32"/>
          <w:u w:val="single"/>
        </w:rPr>
      </w:pPr>
    </w:p>
    <w:p w14:paraId="51F661E8">
      <w:pPr>
        <w:ind w:firstLine="320" w:firstLineChars="100"/>
        <w:rPr>
          <w:rFonts w:ascii="宋体" w:hAnsi="宋体" w:eastAsia="宋体" w:cs="宋体"/>
          <w:bCs/>
          <w:sz w:val="32"/>
          <w:szCs w:val="32"/>
          <w:u w:val="single"/>
        </w:rPr>
      </w:pPr>
    </w:p>
    <w:p w14:paraId="616798B1">
      <w:pPr>
        <w:ind w:firstLine="320" w:firstLineChars="100"/>
        <w:rPr>
          <w:rFonts w:ascii="宋体" w:hAnsi="宋体" w:eastAsia="宋体" w:cs="宋体"/>
          <w:bCs/>
          <w:sz w:val="32"/>
          <w:szCs w:val="32"/>
          <w:u w:val="single"/>
        </w:rPr>
      </w:pPr>
    </w:p>
    <w:p w14:paraId="1436CEB9">
      <w:pPr>
        <w:rPr>
          <w:rFonts w:ascii="宋体" w:hAnsi="宋体" w:eastAsia="宋体"/>
          <w:sz w:val="24"/>
        </w:rPr>
      </w:pPr>
    </w:p>
    <w:p w14:paraId="4603D73B">
      <w:pPr>
        <w:spacing w:line="460" w:lineRule="exact"/>
        <w:textAlignment w:val="baseline"/>
        <w:rPr>
          <w:rStyle w:val="123"/>
          <w:b/>
          <w:bCs/>
          <w:sz w:val="24"/>
        </w:rPr>
      </w:pPr>
      <w:r>
        <w:rPr>
          <w:rStyle w:val="123"/>
          <w:rFonts w:hint="eastAsia"/>
          <w:b/>
          <w:bCs/>
          <w:sz w:val="24"/>
        </w:rPr>
        <w:t>甲</w:t>
      </w:r>
      <w:r>
        <w:rPr>
          <w:rStyle w:val="123"/>
          <w:b/>
          <w:bCs/>
          <w:sz w:val="24"/>
        </w:rPr>
        <w:t>方：</w:t>
      </w:r>
      <w:r>
        <w:rPr>
          <w:rStyle w:val="123"/>
          <w:rFonts w:hint="eastAsia"/>
          <w:b/>
          <w:bCs/>
          <w:sz w:val="24"/>
        </w:rPr>
        <w:t>朗坤环保能源（茂名）有限公司</w:t>
      </w:r>
    </w:p>
    <w:p w14:paraId="78FF0FBA">
      <w:pPr>
        <w:rPr>
          <w:rFonts w:ascii="宋体" w:hAnsi="宋体" w:eastAsia="宋体"/>
          <w:sz w:val="24"/>
        </w:rPr>
      </w:pPr>
      <w:r>
        <w:rPr>
          <w:rStyle w:val="123"/>
          <w:rFonts w:hint="eastAsia"/>
          <w:b/>
          <w:bCs/>
          <w:sz w:val="24"/>
        </w:rPr>
        <w:t>乙</w:t>
      </w:r>
      <w:r>
        <w:rPr>
          <w:rStyle w:val="123"/>
          <w:b/>
          <w:bCs/>
          <w:sz w:val="24"/>
        </w:rPr>
        <w:t>方：</w:t>
      </w:r>
    </w:p>
    <w:p w14:paraId="469615E2">
      <w:pPr>
        <w:spacing w:line="360" w:lineRule="auto"/>
        <w:ind w:firstLine="480"/>
        <w:rPr>
          <w:rFonts w:ascii="宋体" w:hAnsi="宋体" w:eastAsia="宋体"/>
        </w:rPr>
      </w:pPr>
      <w:r>
        <w:rPr>
          <w:rFonts w:ascii="宋体" w:hAnsi="宋体" w:eastAsia="宋体"/>
          <w:sz w:val="24"/>
        </w:rPr>
        <w:t>根据</w:t>
      </w:r>
      <w:r>
        <w:rPr>
          <w:rFonts w:hint="eastAsia" w:ascii="宋体" w:hAnsi="宋体" w:eastAsia="宋体"/>
          <w:sz w:val="24"/>
          <w:u w:val="single"/>
        </w:rPr>
        <w:t>高州</w:t>
      </w:r>
      <w:r>
        <w:rPr>
          <w:rFonts w:ascii="宋体" w:hAnsi="宋体" w:eastAsia="宋体"/>
          <w:sz w:val="24"/>
          <w:u w:val="single"/>
        </w:rPr>
        <w:t>市飞灰填埋场运营管理项目</w:t>
      </w:r>
      <w:r>
        <w:rPr>
          <w:rFonts w:ascii="宋体" w:hAnsi="宋体" w:eastAsia="宋体"/>
          <w:sz w:val="24"/>
        </w:rPr>
        <w:t>的</w:t>
      </w:r>
      <w:r>
        <w:rPr>
          <w:rFonts w:hint="eastAsia" w:ascii="宋体" w:hAnsi="宋体" w:eastAsia="宋体"/>
          <w:sz w:val="24"/>
        </w:rPr>
        <w:t>要求</w:t>
      </w:r>
      <w:r>
        <w:rPr>
          <w:rFonts w:ascii="宋体" w:hAnsi="宋体" w:eastAsia="宋体"/>
          <w:sz w:val="24"/>
        </w:rPr>
        <w:t>，按照《中华人民共和国政府采购法》、《中华人民共和国政府采购法实施条例》、《中华人民共和国民法典》的规定，经双方协商，本着平等互利和诚实信用的原则，一致同意签订本合同如下。</w:t>
      </w:r>
    </w:p>
    <w:p w14:paraId="0C209EB8">
      <w:pPr>
        <w:spacing w:line="360" w:lineRule="auto"/>
        <w:rPr>
          <w:rFonts w:ascii="宋体" w:hAnsi="宋体" w:eastAsia="宋体"/>
        </w:rPr>
      </w:pPr>
      <w:r>
        <w:rPr>
          <w:rFonts w:ascii="宋体" w:hAnsi="宋体" w:eastAsia="宋体"/>
          <w:b/>
          <w:sz w:val="24"/>
        </w:rPr>
        <w:t>一、合同金额</w:t>
      </w:r>
    </w:p>
    <w:tbl>
      <w:tblPr>
        <w:tblStyle w:val="48"/>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7"/>
        <w:gridCol w:w="1775"/>
        <w:gridCol w:w="1789"/>
        <w:gridCol w:w="1887"/>
        <w:gridCol w:w="2083"/>
      </w:tblGrid>
      <w:tr w14:paraId="36F75E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7" w:type="dxa"/>
            <w:tcBorders>
              <w:top w:val="single" w:color="000000" w:sz="4" w:space="0"/>
              <w:left w:val="single" w:color="000000" w:sz="4" w:space="0"/>
              <w:bottom w:val="single" w:color="000000" w:sz="4" w:space="0"/>
              <w:right w:val="single" w:color="000000" w:sz="4" w:space="0"/>
            </w:tcBorders>
          </w:tcPr>
          <w:p w14:paraId="47735550">
            <w:pPr>
              <w:spacing w:line="360" w:lineRule="auto"/>
              <w:jc w:val="center"/>
              <w:rPr>
                <w:rFonts w:ascii="宋体" w:hAnsi="宋体" w:eastAsia="宋体"/>
              </w:rPr>
            </w:pPr>
            <w:r>
              <w:rPr>
                <w:rFonts w:ascii="宋体" w:hAnsi="宋体" w:eastAsia="宋体"/>
                <w:sz w:val="24"/>
              </w:rPr>
              <w:t>序号</w:t>
            </w:r>
          </w:p>
        </w:tc>
        <w:tc>
          <w:tcPr>
            <w:tcW w:w="1775" w:type="dxa"/>
            <w:tcBorders>
              <w:top w:val="single" w:color="000000" w:sz="4" w:space="0"/>
              <w:left w:val="nil"/>
              <w:bottom w:val="single" w:color="000000" w:sz="4" w:space="0"/>
              <w:right w:val="single" w:color="000000" w:sz="4" w:space="0"/>
            </w:tcBorders>
          </w:tcPr>
          <w:p w14:paraId="34859F02">
            <w:pPr>
              <w:spacing w:line="360" w:lineRule="auto"/>
              <w:ind w:firstLine="480" w:firstLineChars="200"/>
              <w:rPr>
                <w:rFonts w:ascii="宋体" w:hAnsi="宋体" w:eastAsia="宋体"/>
              </w:rPr>
            </w:pPr>
            <w:r>
              <w:rPr>
                <w:rFonts w:ascii="宋体" w:hAnsi="宋体" w:eastAsia="宋体"/>
                <w:sz w:val="24"/>
              </w:rPr>
              <w:t>名称</w:t>
            </w:r>
          </w:p>
        </w:tc>
        <w:tc>
          <w:tcPr>
            <w:tcW w:w="1789" w:type="dxa"/>
            <w:tcBorders>
              <w:top w:val="single" w:color="000000" w:sz="4" w:space="0"/>
              <w:left w:val="nil"/>
              <w:bottom w:val="single" w:color="000000" w:sz="4" w:space="0"/>
              <w:right w:val="single" w:color="000000" w:sz="4" w:space="0"/>
            </w:tcBorders>
          </w:tcPr>
          <w:p w14:paraId="1D584818">
            <w:pPr>
              <w:spacing w:line="360" w:lineRule="auto"/>
              <w:jc w:val="center"/>
              <w:rPr>
                <w:rFonts w:ascii="宋体" w:hAnsi="宋体" w:eastAsia="宋体"/>
              </w:rPr>
            </w:pPr>
            <w:r>
              <w:rPr>
                <w:rFonts w:ascii="宋体" w:hAnsi="宋体" w:eastAsia="宋体"/>
                <w:sz w:val="24"/>
              </w:rPr>
              <w:t>预计</w:t>
            </w:r>
            <w:r>
              <w:rPr>
                <w:rFonts w:hint="eastAsia" w:ascii="宋体" w:hAnsi="宋体" w:eastAsia="宋体"/>
                <w:sz w:val="24"/>
              </w:rPr>
              <w:t>处置量</w:t>
            </w:r>
          </w:p>
          <w:p w14:paraId="5014D4AE">
            <w:pPr>
              <w:spacing w:line="360" w:lineRule="auto"/>
              <w:jc w:val="center"/>
              <w:rPr>
                <w:rFonts w:ascii="宋体" w:hAnsi="宋体" w:eastAsia="宋体"/>
              </w:rPr>
            </w:pPr>
            <w:r>
              <w:rPr>
                <w:rFonts w:ascii="宋体" w:hAnsi="宋体" w:eastAsia="宋体"/>
                <w:sz w:val="24"/>
              </w:rPr>
              <w:t>（吨）</w:t>
            </w:r>
          </w:p>
        </w:tc>
        <w:tc>
          <w:tcPr>
            <w:tcW w:w="1887" w:type="dxa"/>
            <w:tcBorders>
              <w:top w:val="single" w:color="000000" w:sz="4" w:space="0"/>
              <w:left w:val="nil"/>
              <w:bottom w:val="single" w:color="000000" w:sz="4" w:space="0"/>
              <w:right w:val="single" w:color="000000" w:sz="4" w:space="0"/>
            </w:tcBorders>
          </w:tcPr>
          <w:p w14:paraId="5C681942">
            <w:pPr>
              <w:spacing w:line="360" w:lineRule="auto"/>
              <w:jc w:val="center"/>
              <w:rPr>
                <w:rFonts w:ascii="宋体" w:hAnsi="宋体" w:eastAsia="宋体"/>
              </w:rPr>
            </w:pPr>
            <w:r>
              <w:rPr>
                <w:rFonts w:hint="eastAsia" w:ascii="宋体" w:hAnsi="宋体" w:eastAsia="宋体"/>
                <w:sz w:val="24"/>
              </w:rPr>
              <w:t>固定</w:t>
            </w:r>
            <w:r>
              <w:rPr>
                <w:rFonts w:ascii="宋体" w:hAnsi="宋体" w:eastAsia="宋体"/>
                <w:sz w:val="24"/>
              </w:rPr>
              <w:t>单价</w:t>
            </w:r>
            <w:r>
              <w:rPr>
                <w:rFonts w:hint="eastAsia" w:ascii="宋体" w:hAnsi="宋体" w:eastAsia="宋体"/>
                <w:sz w:val="24"/>
              </w:rPr>
              <w:t>含税</w:t>
            </w:r>
          </w:p>
          <w:p w14:paraId="63553425">
            <w:pPr>
              <w:spacing w:line="360" w:lineRule="auto"/>
              <w:jc w:val="center"/>
              <w:rPr>
                <w:rFonts w:ascii="宋体" w:hAnsi="宋体" w:eastAsia="宋体"/>
              </w:rPr>
            </w:pPr>
            <w:r>
              <w:rPr>
                <w:rFonts w:ascii="宋体" w:hAnsi="宋体" w:eastAsia="宋体"/>
                <w:sz w:val="24"/>
              </w:rPr>
              <w:t>（元/吨）</w:t>
            </w:r>
          </w:p>
        </w:tc>
        <w:tc>
          <w:tcPr>
            <w:tcW w:w="2083" w:type="dxa"/>
            <w:tcBorders>
              <w:top w:val="single" w:color="000000" w:sz="4" w:space="0"/>
              <w:left w:val="nil"/>
              <w:bottom w:val="single" w:color="000000" w:sz="4" w:space="0"/>
              <w:right w:val="single" w:color="000000" w:sz="4" w:space="0"/>
            </w:tcBorders>
          </w:tcPr>
          <w:p w14:paraId="4D16EF3F">
            <w:pPr>
              <w:spacing w:line="360" w:lineRule="auto"/>
              <w:jc w:val="center"/>
              <w:rPr>
                <w:rFonts w:ascii="宋体" w:hAnsi="宋体" w:eastAsia="宋体"/>
              </w:rPr>
            </w:pPr>
            <w:r>
              <w:rPr>
                <w:rFonts w:ascii="宋体" w:hAnsi="宋体" w:eastAsia="宋体"/>
                <w:sz w:val="24"/>
              </w:rPr>
              <w:t>总价</w:t>
            </w:r>
            <w:r>
              <w:rPr>
                <w:rFonts w:hint="eastAsia" w:ascii="宋体" w:hAnsi="宋体" w:eastAsia="宋体"/>
                <w:sz w:val="24"/>
              </w:rPr>
              <w:t>含税</w:t>
            </w:r>
          </w:p>
          <w:p w14:paraId="61D86D11">
            <w:pPr>
              <w:spacing w:line="360" w:lineRule="auto"/>
              <w:jc w:val="center"/>
              <w:rPr>
                <w:rFonts w:ascii="宋体" w:hAnsi="宋体" w:eastAsia="宋体"/>
              </w:rPr>
            </w:pPr>
            <w:r>
              <w:rPr>
                <w:rFonts w:ascii="宋体" w:hAnsi="宋体" w:eastAsia="宋体"/>
                <w:sz w:val="24"/>
              </w:rPr>
              <w:t>（元）</w:t>
            </w:r>
          </w:p>
        </w:tc>
      </w:tr>
      <w:tr w14:paraId="7BB244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7" w:type="dxa"/>
            <w:tcBorders>
              <w:top w:val="nil"/>
              <w:left w:val="single" w:color="000000" w:sz="4" w:space="0"/>
              <w:bottom w:val="single" w:color="000000" w:sz="4" w:space="0"/>
              <w:right w:val="single" w:color="000000" w:sz="4" w:space="0"/>
            </w:tcBorders>
          </w:tcPr>
          <w:p w14:paraId="3712812E">
            <w:pPr>
              <w:spacing w:line="360" w:lineRule="auto"/>
              <w:jc w:val="center"/>
              <w:rPr>
                <w:rFonts w:ascii="宋体" w:hAnsi="宋体" w:eastAsia="宋体"/>
                <w:sz w:val="24"/>
              </w:rPr>
            </w:pPr>
          </w:p>
          <w:p w14:paraId="10D7EDBC">
            <w:pPr>
              <w:spacing w:line="360" w:lineRule="auto"/>
              <w:jc w:val="center"/>
              <w:rPr>
                <w:rFonts w:ascii="宋体" w:hAnsi="宋体" w:eastAsia="宋体"/>
              </w:rPr>
            </w:pPr>
            <w:r>
              <w:rPr>
                <w:rFonts w:ascii="宋体" w:hAnsi="宋体" w:eastAsia="宋体"/>
                <w:sz w:val="24"/>
              </w:rPr>
              <w:t>1</w:t>
            </w:r>
          </w:p>
        </w:tc>
        <w:tc>
          <w:tcPr>
            <w:tcW w:w="1775" w:type="dxa"/>
            <w:tcBorders>
              <w:top w:val="nil"/>
              <w:left w:val="nil"/>
              <w:bottom w:val="single" w:color="000000" w:sz="4" w:space="0"/>
              <w:right w:val="single" w:color="000000" w:sz="4" w:space="0"/>
            </w:tcBorders>
          </w:tcPr>
          <w:p w14:paraId="02A8C144">
            <w:pPr>
              <w:spacing w:line="360" w:lineRule="auto"/>
              <w:jc w:val="center"/>
              <w:rPr>
                <w:rFonts w:ascii="宋体" w:hAnsi="宋体" w:eastAsia="宋体"/>
              </w:rPr>
            </w:pPr>
            <w:r>
              <w:rPr>
                <w:rFonts w:ascii="宋体" w:hAnsi="宋体" w:eastAsia="宋体"/>
                <w:sz w:val="24"/>
              </w:rPr>
              <w:t>高州市飞灰填埋场运营管理项目</w:t>
            </w:r>
          </w:p>
        </w:tc>
        <w:tc>
          <w:tcPr>
            <w:tcW w:w="1789" w:type="dxa"/>
            <w:tcBorders>
              <w:top w:val="nil"/>
              <w:left w:val="nil"/>
              <w:bottom w:val="single" w:color="000000" w:sz="4" w:space="0"/>
              <w:right w:val="single" w:color="000000" w:sz="4" w:space="0"/>
            </w:tcBorders>
          </w:tcPr>
          <w:p w14:paraId="1F6C66B8">
            <w:pPr>
              <w:spacing w:line="360" w:lineRule="auto"/>
              <w:jc w:val="center"/>
              <w:rPr>
                <w:rFonts w:ascii="宋体" w:hAnsi="宋体" w:eastAsia="宋体"/>
                <w:sz w:val="24"/>
              </w:rPr>
            </w:pPr>
          </w:p>
          <w:p w14:paraId="05AB9A08">
            <w:pPr>
              <w:spacing w:line="360" w:lineRule="auto"/>
              <w:jc w:val="center"/>
              <w:rPr>
                <w:rFonts w:ascii="宋体" w:hAnsi="宋体" w:eastAsia="宋体"/>
                <w:sz w:val="24"/>
              </w:rPr>
            </w:pPr>
            <w:r>
              <w:rPr>
                <w:rFonts w:hint="eastAsia" w:ascii="宋体" w:hAnsi="宋体" w:eastAsia="宋体"/>
                <w:sz w:val="24"/>
                <w:lang w:val="en-US" w:eastAsia="zh-CN"/>
              </w:rPr>
              <w:t>11</w:t>
            </w:r>
            <w:r>
              <w:rPr>
                <w:rFonts w:ascii="宋体" w:hAnsi="宋体" w:eastAsia="宋体"/>
                <w:sz w:val="24"/>
              </w:rPr>
              <w:t>000.00</w:t>
            </w:r>
          </w:p>
        </w:tc>
        <w:tc>
          <w:tcPr>
            <w:tcW w:w="1887" w:type="dxa"/>
            <w:tcBorders>
              <w:top w:val="nil"/>
              <w:left w:val="nil"/>
              <w:bottom w:val="single" w:color="000000" w:sz="4" w:space="0"/>
              <w:right w:val="single" w:color="000000" w:sz="4" w:space="0"/>
            </w:tcBorders>
          </w:tcPr>
          <w:p w14:paraId="3A68D794">
            <w:pPr>
              <w:spacing w:line="360" w:lineRule="auto"/>
              <w:jc w:val="center"/>
              <w:rPr>
                <w:rFonts w:ascii="宋体" w:hAnsi="宋体" w:eastAsia="宋体"/>
                <w:sz w:val="24"/>
              </w:rPr>
            </w:pPr>
          </w:p>
          <w:p w14:paraId="3BFC73F2">
            <w:pPr>
              <w:spacing w:line="360" w:lineRule="auto"/>
              <w:jc w:val="center"/>
              <w:rPr>
                <w:rFonts w:ascii="宋体" w:hAnsi="宋体" w:eastAsia="宋体"/>
                <w:sz w:val="24"/>
              </w:rPr>
            </w:pPr>
            <w:r>
              <w:rPr>
                <w:rFonts w:hint="eastAsia" w:ascii="宋体" w:hAnsi="宋体" w:eastAsia="宋体"/>
                <w:sz w:val="24"/>
                <w:lang w:val="en-US" w:eastAsia="zh-CN"/>
              </w:rPr>
              <w:t>0</w:t>
            </w:r>
            <w:r>
              <w:rPr>
                <w:rFonts w:ascii="宋体" w:hAnsi="宋体" w:eastAsia="宋体"/>
                <w:sz w:val="24"/>
              </w:rPr>
              <w:t>.00</w:t>
            </w:r>
          </w:p>
        </w:tc>
        <w:tc>
          <w:tcPr>
            <w:tcW w:w="2083" w:type="dxa"/>
            <w:tcBorders>
              <w:top w:val="nil"/>
              <w:left w:val="nil"/>
              <w:bottom w:val="single" w:color="000000" w:sz="4" w:space="0"/>
              <w:right w:val="single" w:color="000000" w:sz="4" w:space="0"/>
            </w:tcBorders>
          </w:tcPr>
          <w:p w14:paraId="6F5D0A7D">
            <w:pPr>
              <w:spacing w:line="360" w:lineRule="auto"/>
              <w:jc w:val="center"/>
              <w:rPr>
                <w:rFonts w:ascii="宋体" w:hAnsi="宋体" w:eastAsia="宋体"/>
                <w:sz w:val="24"/>
              </w:rPr>
            </w:pPr>
          </w:p>
          <w:p w14:paraId="41B53DE9">
            <w:pPr>
              <w:spacing w:line="360" w:lineRule="auto"/>
              <w:jc w:val="center"/>
              <w:rPr>
                <w:rFonts w:ascii="宋体" w:hAnsi="宋体" w:eastAsia="宋体"/>
                <w:sz w:val="24"/>
              </w:rPr>
            </w:pPr>
            <w:r>
              <w:rPr>
                <w:rFonts w:hint="eastAsia" w:ascii="宋体" w:hAnsi="宋体" w:eastAsia="宋体"/>
                <w:sz w:val="24"/>
                <w:lang w:val="en-US" w:eastAsia="zh-CN"/>
              </w:rPr>
              <w:t>0</w:t>
            </w:r>
            <w:r>
              <w:rPr>
                <w:rFonts w:ascii="宋体" w:hAnsi="宋体" w:eastAsia="宋体"/>
                <w:sz w:val="24"/>
              </w:rPr>
              <w:t>.00</w:t>
            </w:r>
          </w:p>
        </w:tc>
      </w:tr>
    </w:tbl>
    <w:p w14:paraId="6935CD37">
      <w:pPr>
        <w:spacing w:line="360" w:lineRule="auto"/>
        <w:ind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合同金额：以实际</w:t>
      </w:r>
      <w:r>
        <w:rPr>
          <w:rFonts w:hint="eastAsia" w:ascii="宋体" w:hAnsi="宋体" w:eastAsia="宋体"/>
          <w:sz w:val="24"/>
        </w:rPr>
        <w:t>处置量</w:t>
      </w:r>
      <w:r>
        <w:rPr>
          <w:rFonts w:ascii="宋体" w:hAnsi="宋体" w:eastAsia="宋体"/>
          <w:sz w:val="24"/>
        </w:rPr>
        <w:t>*</w:t>
      </w:r>
      <w:r>
        <w:rPr>
          <w:rFonts w:hint="eastAsia" w:ascii="宋体" w:hAnsi="宋体" w:eastAsia="宋体"/>
          <w:sz w:val="24"/>
        </w:rPr>
        <w:t>固定</w:t>
      </w:r>
      <w:r>
        <w:rPr>
          <w:rFonts w:ascii="宋体" w:hAnsi="宋体" w:eastAsia="宋体"/>
          <w:sz w:val="24"/>
        </w:rPr>
        <w:t>单价计算</w:t>
      </w:r>
    </w:p>
    <w:p w14:paraId="33DBF4E3">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固定单价包括但不限于：人工费（含运输司机）、机具费（含运输及吊装机具等）、材料费（含药剂、膜等）、各类小型工器具费、机具及工器具维保费、卸车费、差旅费、食宿费、劳保用品费、外部协调费、人员与机械保险费、职业健康体检费、风险费（包括但不限于垃圾填埋场的施工难度、环境条件、周边外部人为因素影响等，如政府部门相关风险甲乙双方共同磋商解决）、临时设施费、填埋场各类日常常规监测费、填埋场应急管理费、填埋场运营材料费及水电费、垃圾清运费、安全文明和技术措施费、企业管理费、利润、税费等为完成本协议约定的工作内容所需的所有费用。</w:t>
      </w:r>
    </w:p>
    <w:p w14:paraId="0F352D13">
      <w:pPr>
        <w:spacing w:line="360" w:lineRule="auto"/>
        <w:ind w:firstLine="240" w:firstLineChars="100"/>
        <w:jc w:val="left"/>
        <w:rPr>
          <w:rFonts w:ascii="宋体" w:hAnsi="宋体" w:eastAsia="宋体"/>
          <w:sz w:val="24"/>
        </w:rPr>
      </w:pPr>
      <w:r>
        <w:rPr>
          <w:rFonts w:hint="eastAsia" w:ascii="宋体" w:hAnsi="宋体" w:eastAsia="宋体"/>
          <w:sz w:val="24"/>
        </w:rPr>
        <w:t>3、本合同签订时乙方必须向甲方提供其营业执照，填埋场运营资质，危废运输资质等。</w:t>
      </w:r>
    </w:p>
    <w:p w14:paraId="607C3385">
      <w:pPr>
        <w:spacing w:line="360" w:lineRule="auto"/>
        <w:jc w:val="left"/>
        <w:rPr>
          <w:rFonts w:ascii="宋体" w:hAnsi="宋体" w:eastAsia="宋体"/>
        </w:rPr>
      </w:pPr>
      <w:r>
        <w:rPr>
          <w:rFonts w:ascii="宋体" w:hAnsi="宋体" w:eastAsia="宋体"/>
          <w:b/>
          <w:sz w:val="24"/>
        </w:rPr>
        <w:t>二、项目合同服务期限</w:t>
      </w:r>
    </w:p>
    <w:p w14:paraId="422ED7DA">
      <w:pPr>
        <w:spacing w:line="360" w:lineRule="auto"/>
        <w:ind w:firstLine="420"/>
        <w:rPr>
          <w:rFonts w:hint="eastAsia" w:ascii="宋体" w:hAnsi="宋体" w:eastAsia="宋体"/>
          <w:sz w:val="24"/>
          <w:lang w:eastAsia="zh-CN"/>
        </w:rPr>
      </w:pPr>
      <w:r>
        <w:rPr>
          <w:rFonts w:hint="eastAsia" w:ascii="宋体" w:hAnsi="宋体" w:eastAsia="宋体"/>
          <w:sz w:val="24"/>
          <w:lang w:val="en-US" w:eastAsia="zh-CN"/>
        </w:rPr>
        <w:t>合同</w:t>
      </w:r>
      <w:r>
        <w:rPr>
          <w:rFonts w:ascii="宋体" w:hAnsi="宋体" w:eastAsia="宋体"/>
          <w:sz w:val="24"/>
        </w:rPr>
        <w:t>服务期限：</w:t>
      </w:r>
      <w:r>
        <w:rPr>
          <w:rFonts w:hint="eastAsia" w:ascii="宋体" w:hAnsi="宋体" w:eastAsia="宋体"/>
          <w:sz w:val="24"/>
        </w:rPr>
        <w:t>202</w:t>
      </w:r>
      <w:r>
        <w:rPr>
          <w:rFonts w:hint="eastAsia" w:ascii="宋体" w:hAnsi="宋体" w:eastAsia="宋体"/>
          <w:sz w:val="24"/>
          <w:lang w:val="en-US" w:eastAsia="zh-CN"/>
        </w:rPr>
        <w:t>5</w:t>
      </w:r>
      <w:r>
        <w:rPr>
          <w:rFonts w:hint="eastAsia" w:ascii="宋体" w:hAnsi="宋体" w:eastAsia="宋体"/>
          <w:sz w:val="24"/>
        </w:rPr>
        <w:t>年9月1日至202</w:t>
      </w:r>
      <w:r>
        <w:rPr>
          <w:rFonts w:hint="eastAsia" w:ascii="宋体" w:hAnsi="宋体" w:eastAsia="宋体"/>
          <w:sz w:val="24"/>
          <w:lang w:val="en-US" w:eastAsia="zh-CN"/>
        </w:rPr>
        <w:t>6</w:t>
      </w:r>
      <w:r>
        <w:rPr>
          <w:rFonts w:hint="eastAsia" w:ascii="宋体" w:hAnsi="宋体" w:eastAsia="宋体"/>
          <w:sz w:val="24"/>
        </w:rPr>
        <w:t>年8月31日。乙方每次进场时间</w:t>
      </w:r>
      <w:r>
        <w:rPr>
          <w:rFonts w:ascii="宋体" w:hAnsi="宋体" w:eastAsia="宋体"/>
          <w:sz w:val="24"/>
        </w:rPr>
        <w:t>以甲方开工令时间为准</w:t>
      </w:r>
      <w:r>
        <w:rPr>
          <w:rFonts w:hint="eastAsia" w:ascii="宋体" w:hAnsi="宋体" w:eastAsia="宋体"/>
          <w:sz w:val="24"/>
          <w:lang w:eastAsia="zh-CN"/>
        </w:rPr>
        <w:t>。</w:t>
      </w:r>
    </w:p>
    <w:p w14:paraId="5EAD35DF">
      <w:pPr>
        <w:spacing w:line="360" w:lineRule="auto"/>
        <w:rPr>
          <w:rFonts w:ascii="宋体" w:hAnsi="宋体" w:eastAsia="宋体"/>
        </w:rPr>
      </w:pPr>
      <w:r>
        <w:rPr>
          <w:rFonts w:ascii="宋体" w:hAnsi="宋体" w:eastAsia="宋体"/>
          <w:b/>
          <w:sz w:val="24"/>
        </w:rPr>
        <w:t>三、产品技术要求</w:t>
      </w:r>
    </w:p>
    <w:p w14:paraId="25F628F5">
      <w:pPr>
        <w:spacing w:line="360" w:lineRule="auto"/>
        <w:ind w:firstLine="420"/>
        <w:rPr>
          <w:rFonts w:ascii="宋体" w:hAnsi="宋体" w:eastAsia="宋体"/>
        </w:rPr>
      </w:pPr>
      <w:r>
        <w:rPr>
          <w:rFonts w:ascii="宋体" w:hAnsi="宋体" w:eastAsia="宋体"/>
          <w:sz w:val="24"/>
        </w:rPr>
        <w:t>一、项目服务内容及要求</w:t>
      </w:r>
    </w:p>
    <w:p w14:paraId="7DC8E595">
      <w:pPr>
        <w:spacing w:line="360" w:lineRule="auto"/>
        <w:ind w:firstLine="420"/>
        <w:rPr>
          <w:rFonts w:ascii="宋体" w:hAnsi="宋体" w:eastAsia="宋体"/>
        </w:rPr>
      </w:pPr>
      <w:r>
        <w:rPr>
          <w:rFonts w:ascii="宋体" w:hAnsi="宋体" w:eastAsia="宋体"/>
          <w:sz w:val="24"/>
        </w:rPr>
        <w:t>（一）负责稳定化飞灰填埋作业技术指导服务，负责飞灰填埋场的管理，承担作业过程的安全管理责任及环保管理责任。</w:t>
      </w:r>
    </w:p>
    <w:p w14:paraId="10777D9D">
      <w:pPr>
        <w:spacing w:line="360" w:lineRule="auto"/>
        <w:ind w:firstLine="420"/>
        <w:rPr>
          <w:rFonts w:ascii="宋体" w:hAnsi="宋体" w:eastAsia="宋体"/>
        </w:rPr>
      </w:pPr>
      <w:r>
        <w:rPr>
          <w:rFonts w:ascii="宋体" w:hAnsi="宋体" w:eastAsia="宋体"/>
          <w:sz w:val="24"/>
        </w:rPr>
        <w:t>（二）按照飞灰填埋场现状接收</w:t>
      </w:r>
      <w:r>
        <w:rPr>
          <w:rFonts w:hint="eastAsia" w:ascii="宋体" w:hAnsi="宋体" w:eastAsia="宋体" w:cs="宋体"/>
          <w:sz w:val="24"/>
        </w:rPr>
        <w:t>稳定固化检测合格的飞灰</w:t>
      </w:r>
      <w:r>
        <w:rPr>
          <w:rFonts w:ascii="宋体" w:hAnsi="宋体" w:eastAsia="宋体"/>
          <w:sz w:val="24"/>
        </w:rPr>
        <w:t>，并按飞灰填埋场管理规范进行运营管理，包括但不限于新增飞灰的填埋管理和前期已填埋飞灰的维护管理。</w:t>
      </w:r>
    </w:p>
    <w:p w14:paraId="2EBC2D75">
      <w:pPr>
        <w:spacing w:line="360" w:lineRule="auto"/>
        <w:ind w:firstLine="420"/>
        <w:rPr>
          <w:rFonts w:ascii="宋体" w:hAnsi="宋体" w:eastAsia="宋体"/>
        </w:rPr>
      </w:pPr>
      <w:r>
        <w:rPr>
          <w:rFonts w:ascii="宋体" w:hAnsi="宋体" w:eastAsia="宋体"/>
          <w:sz w:val="24"/>
        </w:rPr>
        <w:t>（三）提供飞灰填埋作业技术指导。</w:t>
      </w:r>
    </w:p>
    <w:p w14:paraId="121CEA88">
      <w:pPr>
        <w:spacing w:line="360" w:lineRule="auto"/>
        <w:ind w:firstLine="420"/>
        <w:rPr>
          <w:rFonts w:ascii="宋体" w:hAnsi="宋体" w:eastAsia="宋体"/>
        </w:rPr>
      </w:pPr>
      <w:r>
        <w:rPr>
          <w:rFonts w:ascii="宋体" w:hAnsi="宋体" w:eastAsia="宋体"/>
          <w:sz w:val="24"/>
        </w:rPr>
        <w:t>（四）负责填埋作业准备工作。</w:t>
      </w:r>
    </w:p>
    <w:p w14:paraId="2184F880">
      <w:pPr>
        <w:spacing w:line="360" w:lineRule="auto"/>
        <w:ind w:firstLine="420"/>
        <w:rPr>
          <w:rFonts w:ascii="宋体" w:hAnsi="宋体" w:eastAsia="宋体"/>
        </w:rPr>
      </w:pPr>
      <w:r>
        <w:rPr>
          <w:rFonts w:ascii="宋体" w:hAnsi="宋体" w:eastAsia="宋体"/>
          <w:sz w:val="24"/>
        </w:rPr>
        <w:t>（五）提供填埋作业过程中所需的所有人工、机械设备、运输工具等；提供填埋作业的物资材料，包括1.00mm双光面HDPE防渗膜、防老化编织袋、粗砂头、尼龙绳、砖渣、粘土和碎石等（物资材料要符合附件1《主要材料性能要求》相关要求）。</w:t>
      </w:r>
    </w:p>
    <w:p w14:paraId="6BF7E440">
      <w:pPr>
        <w:spacing w:line="360" w:lineRule="auto"/>
        <w:ind w:firstLine="420"/>
        <w:rPr>
          <w:rFonts w:ascii="宋体" w:hAnsi="宋体" w:eastAsia="宋体"/>
        </w:rPr>
      </w:pPr>
      <w:r>
        <w:rPr>
          <w:rFonts w:ascii="宋体" w:hAnsi="宋体" w:eastAsia="宋体"/>
          <w:sz w:val="24"/>
        </w:rPr>
        <w:t>1、填埋区入场道路及作业平台准备：入场道路及作业平台修缮，保证入场道路、平台满足作业的要求，保证飞灰转运效率。</w:t>
      </w:r>
    </w:p>
    <w:p w14:paraId="56769480">
      <w:pPr>
        <w:spacing w:line="360" w:lineRule="auto"/>
        <w:ind w:firstLine="420"/>
        <w:rPr>
          <w:rFonts w:ascii="宋体" w:hAnsi="宋体" w:eastAsia="宋体"/>
        </w:rPr>
      </w:pPr>
      <w:r>
        <w:rPr>
          <w:rFonts w:ascii="宋体" w:hAnsi="宋体" w:eastAsia="宋体"/>
          <w:sz w:val="24"/>
        </w:rPr>
        <w:t>2、确定每次填埋区的具体区域和位置并报备；针对当次填埋区域，移除压袋、揭除上部覆膜，移除的压袋及揭除的覆膜规范放置，以防损坏。</w:t>
      </w:r>
    </w:p>
    <w:p w14:paraId="6BEDA104">
      <w:pPr>
        <w:spacing w:line="360" w:lineRule="auto"/>
        <w:ind w:firstLine="420"/>
        <w:rPr>
          <w:rFonts w:ascii="宋体" w:hAnsi="宋体" w:eastAsia="宋体"/>
        </w:rPr>
      </w:pPr>
      <w:r>
        <w:rPr>
          <w:rFonts w:ascii="宋体" w:hAnsi="宋体" w:eastAsia="宋体"/>
          <w:sz w:val="24"/>
        </w:rPr>
        <w:t>3、铺设飞灰填埋场内钢板道路（</w:t>
      </w:r>
      <w:r>
        <w:rPr>
          <w:rFonts w:hint="eastAsia" w:ascii="宋体" w:hAnsi="宋体" w:eastAsia="宋体"/>
          <w:sz w:val="24"/>
        </w:rPr>
        <w:t>乙方</w:t>
      </w:r>
      <w:r>
        <w:rPr>
          <w:rFonts w:ascii="宋体" w:hAnsi="宋体" w:eastAsia="宋体"/>
          <w:sz w:val="24"/>
        </w:rPr>
        <w:t>自备，服务期满可撤场）。</w:t>
      </w:r>
    </w:p>
    <w:p w14:paraId="13895A12">
      <w:pPr>
        <w:spacing w:line="360" w:lineRule="auto"/>
        <w:ind w:firstLine="420"/>
        <w:rPr>
          <w:rFonts w:ascii="宋体" w:hAnsi="宋体" w:eastAsia="宋体"/>
        </w:rPr>
      </w:pPr>
      <w:r>
        <w:rPr>
          <w:rFonts w:ascii="宋体" w:hAnsi="宋体" w:eastAsia="宋体"/>
          <w:sz w:val="24"/>
        </w:rPr>
        <w:t>4、作业设备、人员等其它事项准备。</w:t>
      </w:r>
    </w:p>
    <w:p w14:paraId="5E941986">
      <w:pPr>
        <w:spacing w:line="360" w:lineRule="auto"/>
        <w:ind w:firstLine="420"/>
        <w:rPr>
          <w:rFonts w:ascii="宋体" w:hAnsi="宋体" w:eastAsia="宋体"/>
        </w:rPr>
      </w:pPr>
      <w:r>
        <w:rPr>
          <w:rFonts w:ascii="宋体" w:hAnsi="宋体" w:eastAsia="宋体"/>
          <w:sz w:val="24"/>
        </w:rPr>
        <w:t>（六）飞灰填埋作业</w:t>
      </w:r>
    </w:p>
    <w:p w14:paraId="38BC25D1">
      <w:pPr>
        <w:spacing w:line="360" w:lineRule="auto"/>
        <w:ind w:firstLine="420"/>
        <w:rPr>
          <w:rFonts w:ascii="宋体" w:hAnsi="宋体" w:eastAsia="宋体"/>
        </w:rPr>
      </w:pPr>
      <w:r>
        <w:rPr>
          <w:rFonts w:ascii="宋体" w:hAnsi="宋体" w:eastAsia="宋体"/>
          <w:sz w:val="24"/>
        </w:rPr>
        <w:t>1、负责</w:t>
      </w:r>
      <w:r>
        <w:rPr>
          <w:rFonts w:hint="eastAsia" w:ascii="宋体" w:hAnsi="宋体" w:eastAsia="宋体"/>
          <w:sz w:val="24"/>
        </w:rPr>
        <w:t>从甲方电厂指定位置的</w:t>
      </w:r>
      <w:r>
        <w:rPr>
          <w:rFonts w:ascii="宋体" w:hAnsi="宋体" w:eastAsia="宋体"/>
          <w:sz w:val="24"/>
        </w:rPr>
        <w:t>飞灰</w:t>
      </w:r>
      <w:r>
        <w:rPr>
          <w:rFonts w:hint="eastAsia" w:ascii="宋体" w:hAnsi="宋体" w:eastAsia="宋体"/>
          <w:sz w:val="24"/>
        </w:rPr>
        <w:t>装车、运输、</w:t>
      </w:r>
      <w:r>
        <w:rPr>
          <w:rFonts w:ascii="宋体" w:hAnsi="宋体" w:eastAsia="宋体"/>
          <w:sz w:val="24"/>
        </w:rPr>
        <w:t>卸车</w:t>
      </w:r>
      <w:r>
        <w:rPr>
          <w:rFonts w:hint="eastAsia" w:ascii="宋体" w:hAnsi="宋体" w:eastAsia="宋体"/>
          <w:sz w:val="24"/>
        </w:rPr>
        <w:t>（含二次转运）</w:t>
      </w:r>
      <w:r>
        <w:rPr>
          <w:rFonts w:ascii="宋体" w:hAnsi="宋体" w:eastAsia="宋体"/>
          <w:sz w:val="24"/>
        </w:rPr>
        <w:t>、堆填时保证吨袋的稳固、紧凑、摆放整齐。</w:t>
      </w:r>
    </w:p>
    <w:p w14:paraId="39F5D1A3">
      <w:pPr>
        <w:spacing w:line="360" w:lineRule="auto"/>
        <w:ind w:firstLine="420"/>
        <w:rPr>
          <w:rFonts w:ascii="宋体" w:hAnsi="宋体" w:eastAsia="宋体"/>
        </w:rPr>
      </w:pPr>
      <w:r>
        <w:rPr>
          <w:rFonts w:hint="eastAsia" w:ascii="宋体" w:hAnsi="宋体" w:eastAsia="宋体"/>
          <w:sz w:val="24"/>
        </w:rPr>
        <w:t>2</w:t>
      </w:r>
      <w:r>
        <w:rPr>
          <w:rFonts w:ascii="宋体" w:hAnsi="宋体" w:eastAsia="宋体"/>
          <w:sz w:val="24"/>
        </w:rPr>
        <w:t>、负责作业过程人员与设备、设施安全。</w:t>
      </w:r>
    </w:p>
    <w:p w14:paraId="1E936043">
      <w:pPr>
        <w:spacing w:line="360" w:lineRule="auto"/>
        <w:ind w:firstLine="420"/>
        <w:rPr>
          <w:rFonts w:ascii="宋体" w:hAnsi="宋体" w:eastAsia="宋体"/>
        </w:rPr>
      </w:pPr>
      <w:r>
        <w:rPr>
          <w:rFonts w:ascii="宋体" w:hAnsi="宋体" w:eastAsia="宋体"/>
          <w:sz w:val="24"/>
        </w:rPr>
        <w:t>（七）填埋作业后维护</w:t>
      </w:r>
    </w:p>
    <w:p w14:paraId="514C9F80">
      <w:pPr>
        <w:spacing w:line="360" w:lineRule="auto"/>
        <w:ind w:firstLine="420"/>
        <w:rPr>
          <w:rFonts w:ascii="宋体" w:hAnsi="宋体" w:eastAsia="宋体"/>
        </w:rPr>
      </w:pPr>
      <w:r>
        <w:rPr>
          <w:rFonts w:ascii="宋体" w:hAnsi="宋体" w:eastAsia="宋体"/>
          <w:sz w:val="24"/>
        </w:rPr>
        <w:t>1、作业完成，堆填区域覆盖防渗膜，搭接口焊接防渗。</w:t>
      </w:r>
    </w:p>
    <w:p w14:paraId="078E148E">
      <w:pPr>
        <w:spacing w:line="360" w:lineRule="auto"/>
        <w:ind w:firstLine="420"/>
        <w:rPr>
          <w:rFonts w:ascii="宋体" w:hAnsi="宋体" w:eastAsia="宋体"/>
        </w:rPr>
      </w:pPr>
      <w:r>
        <w:rPr>
          <w:rFonts w:ascii="宋体" w:hAnsi="宋体" w:eastAsia="宋体"/>
          <w:sz w:val="24"/>
        </w:rPr>
        <w:t>2、覆膜用防老化沙袋（装砂后不小于0.1米×0.4米×0.4米，粗砂头）压实，沙袋按一米间隔布置，用Ø8mm绳子捆扎连接，防止风吹掀开。</w:t>
      </w:r>
    </w:p>
    <w:p w14:paraId="67EAD376">
      <w:pPr>
        <w:spacing w:line="360" w:lineRule="auto"/>
        <w:ind w:firstLine="420"/>
        <w:rPr>
          <w:rFonts w:ascii="宋体" w:hAnsi="宋体" w:eastAsia="宋体"/>
        </w:rPr>
      </w:pPr>
      <w:r>
        <w:rPr>
          <w:rFonts w:ascii="宋体" w:hAnsi="宋体" w:eastAsia="宋体"/>
          <w:sz w:val="24"/>
        </w:rPr>
        <w:t>3、用于临时道路的钢板视具体情况进行回收、整理和存放；防止破坏和遗失。</w:t>
      </w:r>
    </w:p>
    <w:p w14:paraId="7BD34744">
      <w:pPr>
        <w:spacing w:line="360" w:lineRule="auto"/>
        <w:ind w:firstLine="420"/>
        <w:rPr>
          <w:rFonts w:ascii="宋体" w:hAnsi="宋体" w:eastAsia="宋体"/>
        </w:rPr>
      </w:pPr>
      <w:r>
        <w:rPr>
          <w:rFonts w:ascii="宋体" w:hAnsi="宋体" w:eastAsia="宋体"/>
          <w:sz w:val="24"/>
        </w:rPr>
        <w:t>4、用沙袋堆隔或用其它措施将入场道路封闭以防道路被破坏。</w:t>
      </w:r>
    </w:p>
    <w:p w14:paraId="24AC79D8">
      <w:pPr>
        <w:spacing w:line="360" w:lineRule="auto"/>
        <w:ind w:firstLine="420"/>
        <w:rPr>
          <w:rFonts w:ascii="宋体" w:hAnsi="宋体" w:eastAsia="宋体"/>
        </w:rPr>
      </w:pPr>
      <w:r>
        <w:rPr>
          <w:rFonts w:ascii="宋体" w:hAnsi="宋体" w:eastAsia="宋体"/>
          <w:sz w:val="24"/>
        </w:rPr>
        <w:t>（八）填埋区管理</w:t>
      </w:r>
    </w:p>
    <w:p w14:paraId="0505A53F">
      <w:pPr>
        <w:spacing w:line="360" w:lineRule="auto"/>
        <w:ind w:firstLine="420"/>
        <w:rPr>
          <w:rFonts w:ascii="宋体" w:hAnsi="宋体" w:eastAsia="宋体"/>
        </w:rPr>
      </w:pPr>
      <w:r>
        <w:rPr>
          <w:rFonts w:ascii="宋体" w:hAnsi="宋体" w:eastAsia="宋体"/>
          <w:sz w:val="24"/>
        </w:rPr>
        <w:t>1、填埋专区日常巡视检查，发现不安全情况及时处理，并向甲方报告。</w:t>
      </w:r>
    </w:p>
    <w:p w14:paraId="7839F80B">
      <w:pPr>
        <w:spacing w:line="360" w:lineRule="auto"/>
        <w:ind w:firstLine="420"/>
        <w:rPr>
          <w:rFonts w:ascii="宋体" w:hAnsi="宋体" w:eastAsia="宋体"/>
        </w:rPr>
      </w:pPr>
      <w:r>
        <w:rPr>
          <w:rFonts w:ascii="宋体" w:hAnsi="宋体" w:eastAsia="宋体"/>
          <w:sz w:val="24"/>
        </w:rPr>
        <w:t>2、雨水天气，每日检查雨污分流情况，并及时启动水泵，抽走积存雨水和抽排渗滤液；如有台风暴雨天气，提前做好预防台风暴雨的措施。台风暴雨过后立即检查覆膜情况，如有破损及时修复，并将坝底雨水排尽。</w:t>
      </w:r>
    </w:p>
    <w:p w14:paraId="6DDC2BC1">
      <w:pPr>
        <w:spacing w:line="360" w:lineRule="auto"/>
        <w:ind w:firstLine="420"/>
        <w:rPr>
          <w:rFonts w:ascii="宋体" w:hAnsi="宋体" w:eastAsia="宋体"/>
        </w:rPr>
      </w:pPr>
      <w:r>
        <w:rPr>
          <w:rFonts w:ascii="宋体" w:hAnsi="宋体" w:eastAsia="宋体"/>
          <w:sz w:val="24"/>
        </w:rPr>
        <w:t>3、环境检测：按照国家相关法律法规及生态环境部门批复的环境检测要求（以生态环境部门最新要求为准）</w:t>
      </w:r>
      <w:r>
        <w:rPr>
          <w:rFonts w:hint="eastAsia" w:ascii="宋体" w:hAnsi="宋体" w:eastAsia="宋体"/>
          <w:sz w:val="24"/>
        </w:rPr>
        <w:t>，附营运期环境监测计划表执行</w:t>
      </w:r>
      <w:r>
        <w:rPr>
          <w:rFonts w:ascii="宋体" w:hAnsi="宋体" w:eastAsia="宋体"/>
          <w:sz w:val="24"/>
        </w:rPr>
        <w:t>。</w:t>
      </w:r>
    </w:p>
    <w:p w14:paraId="60E9E375">
      <w:pPr>
        <w:spacing w:line="360" w:lineRule="auto"/>
        <w:ind w:firstLine="480" w:firstLineChars="200"/>
        <w:rPr>
          <w:rFonts w:ascii="宋体" w:hAnsi="宋体" w:eastAsia="宋体"/>
        </w:rPr>
      </w:pPr>
      <w:r>
        <w:rPr>
          <w:rFonts w:ascii="宋体" w:hAnsi="宋体" w:eastAsia="宋体"/>
          <w:sz w:val="24"/>
        </w:rPr>
        <w:t>4、</w:t>
      </w:r>
      <w:r>
        <w:rPr>
          <w:rFonts w:hint="eastAsia" w:ascii="宋体" w:hAnsi="宋体" w:eastAsia="宋体"/>
          <w:sz w:val="24"/>
        </w:rPr>
        <w:t>乙方</w:t>
      </w:r>
      <w:r>
        <w:rPr>
          <w:rFonts w:ascii="宋体" w:hAnsi="宋体" w:eastAsia="宋体"/>
          <w:sz w:val="24"/>
        </w:rPr>
        <w:t>对填埋区进行沉降、稳定性观测。</w:t>
      </w:r>
    </w:p>
    <w:p w14:paraId="3ECC56B3">
      <w:pPr>
        <w:spacing w:line="360" w:lineRule="auto"/>
        <w:ind w:firstLine="420"/>
        <w:rPr>
          <w:rFonts w:ascii="宋体" w:hAnsi="宋体" w:eastAsia="宋体"/>
        </w:rPr>
      </w:pPr>
      <w:r>
        <w:rPr>
          <w:rFonts w:ascii="宋体" w:hAnsi="宋体" w:eastAsia="宋体"/>
          <w:sz w:val="24"/>
        </w:rPr>
        <w:t xml:space="preserve">（九）负责飞灰填埋场内的所有清洁工作。                                   </w:t>
      </w:r>
    </w:p>
    <w:p w14:paraId="3E25EB22">
      <w:pPr>
        <w:spacing w:line="360" w:lineRule="auto"/>
        <w:ind w:firstLine="420"/>
        <w:rPr>
          <w:rFonts w:ascii="宋体" w:hAnsi="宋体" w:eastAsia="宋体"/>
        </w:rPr>
      </w:pPr>
      <w:r>
        <w:rPr>
          <w:rFonts w:ascii="宋体" w:hAnsi="宋体" w:eastAsia="宋体"/>
          <w:sz w:val="24"/>
        </w:rPr>
        <w:t>（十）初始填埋前铺设一层1.00mm双光面HDPE防渗膜（符合《生活垃圾卫生填埋场防渗系统工程技术标准GBT51403-2021》相关要求）。根据填埋作业技术要求每约5米（5层吨袋）进行中间隔离层作业，用粘土找平后铺设防渗膜与底膜联接，将飞灰进行全包裹。</w:t>
      </w:r>
    </w:p>
    <w:p w14:paraId="17930811">
      <w:pPr>
        <w:spacing w:line="360" w:lineRule="auto"/>
        <w:ind w:firstLine="420"/>
        <w:rPr>
          <w:rFonts w:ascii="宋体" w:hAnsi="宋体" w:eastAsia="宋体"/>
        </w:rPr>
      </w:pPr>
      <w:r>
        <w:rPr>
          <w:rFonts w:ascii="宋体" w:hAnsi="宋体" w:eastAsia="宋体"/>
          <w:sz w:val="24"/>
        </w:rPr>
        <w:t>（十一）负责甲方提供的物质材料、辅助工具、设备设施的保管工作。</w:t>
      </w:r>
    </w:p>
    <w:p w14:paraId="5E5BBBB5">
      <w:pPr>
        <w:spacing w:line="360" w:lineRule="auto"/>
        <w:ind w:firstLine="420"/>
        <w:rPr>
          <w:rFonts w:ascii="宋体" w:hAnsi="宋体" w:eastAsia="宋体"/>
        </w:rPr>
      </w:pPr>
      <w:r>
        <w:rPr>
          <w:rFonts w:ascii="宋体" w:hAnsi="宋体" w:eastAsia="宋体"/>
          <w:sz w:val="24"/>
        </w:rPr>
        <w:t>（十二）做好相关台账建立及管理工作。</w:t>
      </w:r>
    </w:p>
    <w:p w14:paraId="22A3BC9F">
      <w:pPr>
        <w:spacing w:line="360" w:lineRule="auto"/>
        <w:ind w:firstLine="420"/>
        <w:rPr>
          <w:rFonts w:ascii="宋体" w:hAnsi="宋体" w:eastAsia="宋体"/>
        </w:rPr>
      </w:pPr>
      <w:r>
        <w:rPr>
          <w:rFonts w:ascii="宋体" w:hAnsi="宋体" w:eastAsia="宋体"/>
          <w:sz w:val="24"/>
        </w:rPr>
        <w:t>（十三）负责飞灰填埋场内所有设备设施维护管理，包括但不限于水电设备、消防设备、围栏和抽排系统（含围栏外地下水收集井及抽排设备）。</w:t>
      </w:r>
    </w:p>
    <w:p w14:paraId="393A1249">
      <w:pPr>
        <w:spacing w:line="360" w:lineRule="auto"/>
        <w:ind w:firstLine="420"/>
        <w:rPr>
          <w:rFonts w:ascii="宋体" w:hAnsi="宋体" w:eastAsia="宋体"/>
        </w:rPr>
      </w:pPr>
      <w:r>
        <w:rPr>
          <w:rFonts w:ascii="宋体" w:hAnsi="宋体" w:eastAsia="宋体"/>
          <w:sz w:val="24"/>
        </w:rPr>
        <w:t>（十四）飞灰螯合物处置频次和时长根据实际情况实施和调整。</w:t>
      </w:r>
    </w:p>
    <w:p w14:paraId="4B2FADB3">
      <w:pPr>
        <w:spacing w:line="360" w:lineRule="auto"/>
        <w:ind w:firstLine="420"/>
        <w:rPr>
          <w:rFonts w:ascii="宋体" w:hAnsi="宋体" w:eastAsia="宋体"/>
          <w:sz w:val="24"/>
        </w:rPr>
      </w:pPr>
      <w:r>
        <w:rPr>
          <w:rFonts w:ascii="宋体" w:hAnsi="宋体" w:eastAsia="宋体"/>
          <w:sz w:val="24"/>
        </w:rPr>
        <w:t>（十五）如遇到国家标准调整或者当地环保等相关部门要求调整，乙方需要按最新的政策要求提供运营服务，</w:t>
      </w:r>
      <w:r>
        <w:rPr>
          <w:rFonts w:hint="eastAsia" w:ascii="宋体" w:hAnsi="宋体" w:eastAsia="宋体"/>
          <w:sz w:val="24"/>
        </w:rPr>
        <w:t>如涉及</w:t>
      </w:r>
      <w:r>
        <w:rPr>
          <w:rFonts w:ascii="宋体" w:hAnsi="宋体" w:eastAsia="宋体"/>
          <w:sz w:val="24"/>
        </w:rPr>
        <w:t>增加费用</w:t>
      </w:r>
      <w:r>
        <w:rPr>
          <w:rFonts w:hint="eastAsia" w:ascii="宋体" w:hAnsi="宋体" w:eastAsia="宋体"/>
          <w:sz w:val="24"/>
        </w:rPr>
        <w:t>，甲乙双方再另行协商。</w:t>
      </w:r>
    </w:p>
    <w:p w14:paraId="2AC002F8">
      <w:pPr>
        <w:spacing w:line="360" w:lineRule="auto"/>
        <w:ind w:firstLine="420"/>
        <w:rPr>
          <w:rFonts w:ascii="宋体" w:hAnsi="宋体" w:eastAsia="宋体"/>
          <w:sz w:val="24"/>
        </w:rPr>
      </w:pPr>
      <w:r>
        <w:rPr>
          <w:rFonts w:ascii="宋体" w:hAnsi="宋体" w:eastAsia="宋体"/>
          <w:sz w:val="24"/>
        </w:rPr>
        <w:t>（十六）</w:t>
      </w:r>
      <w:r>
        <w:rPr>
          <w:rFonts w:hint="eastAsia" w:ascii="宋体" w:hAnsi="宋体" w:eastAsia="宋体"/>
          <w:sz w:val="24"/>
        </w:rPr>
        <w:t>运输（含装车、运输、卸车等）要求</w:t>
      </w:r>
    </w:p>
    <w:p w14:paraId="7561577A">
      <w:pPr>
        <w:spacing w:line="360" w:lineRule="auto"/>
        <w:ind w:firstLine="420"/>
        <w:rPr>
          <w:rFonts w:ascii="宋体" w:hAnsi="宋体" w:eastAsia="宋体"/>
          <w:sz w:val="24"/>
        </w:rPr>
      </w:pPr>
      <w:r>
        <w:rPr>
          <w:rFonts w:hint="eastAsia" w:ascii="宋体" w:hAnsi="宋体" w:eastAsia="宋体"/>
          <w:sz w:val="24"/>
        </w:rPr>
        <w:t>执行以下环保要求：废物类别</w:t>
      </w:r>
      <w:r>
        <w:rPr>
          <w:rFonts w:ascii="宋体" w:hAnsi="宋体" w:eastAsia="宋体"/>
          <w:sz w:val="24"/>
        </w:rPr>
        <w:t xml:space="preserve"> HW18焚烧处置残渣</w:t>
      </w:r>
    </w:p>
    <w:p w14:paraId="3FE9FD08">
      <w:pPr>
        <w:spacing w:line="360" w:lineRule="auto"/>
        <w:ind w:firstLine="420"/>
        <w:rPr>
          <w:rFonts w:ascii="宋体" w:hAnsi="宋体" w:eastAsia="宋体"/>
          <w:sz w:val="24"/>
        </w:rPr>
      </w:pPr>
      <w:r>
        <w:rPr>
          <w:rFonts w:hint="eastAsia" w:ascii="宋体" w:hAnsi="宋体" w:eastAsia="宋体"/>
          <w:sz w:val="24"/>
        </w:rPr>
        <w:t>废物类别</w:t>
      </w:r>
      <w:r>
        <w:rPr>
          <w:rFonts w:ascii="宋体" w:hAnsi="宋体" w:eastAsia="宋体"/>
          <w:sz w:val="24"/>
        </w:rPr>
        <w:t xml:space="preserve">/代码772-002-18 </w:t>
      </w:r>
      <w:r>
        <w:rPr>
          <w:rFonts w:hint="eastAsia" w:ascii="宋体" w:hAnsi="宋体" w:eastAsia="宋体"/>
          <w:sz w:val="24"/>
        </w:rPr>
        <w:t>生活垃圾焚烧飞灰</w:t>
      </w:r>
      <w:r>
        <w:rPr>
          <w:rFonts w:ascii="宋体" w:hAnsi="宋体" w:eastAsia="宋体"/>
          <w:sz w:val="24"/>
        </w:rPr>
        <w:t xml:space="preserve"> </w:t>
      </w:r>
      <w:r>
        <w:rPr>
          <w:rFonts w:hint="eastAsia" w:ascii="宋体" w:hAnsi="宋体" w:eastAsia="宋体"/>
          <w:sz w:val="24"/>
        </w:rPr>
        <w:t>运输</w:t>
      </w:r>
      <w:r>
        <w:rPr>
          <w:rFonts w:ascii="宋体" w:hAnsi="宋体" w:eastAsia="宋体"/>
          <w:sz w:val="24"/>
        </w:rPr>
        <w:t xml:space="preserve"> </w:t>
      </w:r>
      <w:r>
        <w:rPr>
          <w:rFonts w:hint="eastAsia" w:ascii="宋体" w:hAnsi="宋体" w:eastAsia="宋体"/>
          <w:sz w:val="24"/>
        </w:rPr>
        <w:t>经处理后满足《生活垃圾填埋场污染控制标准》（</w:t>
      </w:r>
      <w:r>
        <w:rPr>
          <w:rFonts w:ascii="宋体" w:hAnsi="宋体" w:eastAsia="宋体"/>
          <w:sz w:val="24"/>
        </w:rPr>
        <w:t>GB16889</w:t>
      </w:r>
      <w:r>
        <w:rPr>
          <w:rFonts w:hint="eastAsia" w:ascii="宋体" w:hAnsi="宋体" w:eastAsia="宋体"/>
          <w:sz w:val="24"/>
        </w:rPr>
        <w:t>）要求，且运输工具满足防雨、防渗漏、防遗撒要求。</w:t>
      </w:r>
      <w:r>
        <w:rPr>
          <w:rFonts w:ascii="宋体" w:hAnsi="宋体" w:eastAsia="宋体"/>
          <w:sz w:val="24"/>
        </w:rPr>
        <w:t xml:space="preserve"> </w:t>
      </w:r>
    </w:p>
    <w:p w14:paraId="762C4BF5">
      <w:pPr>
        <w:spacing w:line="360" w:lineRule="auto"/>
        <w:ind w:firstLine="420"/>
        <w:rPr>
          <w:rFonts w:ascii="宋体" w:hAnsi="宋体" w:eastAsia="宋体"/>
          <w:sz w:val="24"/>
        </w:rPr>
      </w:pPr>
      <w:r>
        <w:rPr>
          <w:rFonts w:ascii="宋体" w:hAnsi="宋体" w:eastAsia="宋体"/>
          <w:sz w:val="24"/>
        </w:rPr>
        <w:t>（十</w:t>
      </w:r>
      <w:r>
        <w:rPr>
          <w:rFonts w:hint="eastAsia" w:ascii="宋体" w:hAnsi="宋体" w:eastAsia="宋体"/>
          <w:sz w:val="24"/>
        </w:rPr>
        <w:t>七</w:t>
      </w:r>
      <w:r>
        <w:rPr>
          <w:rFonts w:ascii="宋体" w:hAnsi="宋体" w:eastAsia="宋体"/>
          <w:sz w:val="24"/>
        </w:rPr>
        <w:t>）安全</w:t>
      </w:r>
      <w:r>
        <w:rPr>
          <w:rFonts w:hint="eastAsia" w:ascii="宋体" w:hAnsi="宋体" w:eastAsia="宋体"/>
          <w:sz w:val="24"/>
        </w:rPr>
        <w:t>环保</w:t>
      </w:r>
      <w:r>
        <w:rPr>
          <w:rFonts w:ascii="宋体" w:hAnsi="宋体" w:eastAsia="宋体"/>
          <w:sz w:val="24"/>
        </w:rPr>
        <w:t>管理</w:t>
      </w:r>
    </w:p>
    <w:p w14:paraId="238D2D9B">
      <w:pPr>
        <w:spacing w:line="360" w:lineRule="auto"/>
        <w:ind w:firstLine="420"/>
        <w:rPr>
          <w:rFonts w:ascii="宋体" w:hAnsi="宋体" w:eastAsia="宋体"/>
        </w:rPr>
      </w:pPr>
      <w:r>
        <w:rPr>
          <w:rFonts w:ascii="宋体" w:hAnsi="宋体" w:eastAsia="宋体"/>
          <w:sz w:val="24"/>
        </w:rPr>
        <w:t>1、乙方必须坚决贯彻执行党和国家及地方人民政府关于安全生产的一系列方针、政策、法规、条例和规定，必须采取一切必要措施和手段强化</w:t>
      </w:r>
      <w:r>
        <w:rPr>
          <w:rFonts w:hint="eastAsia" w:ascii="宋体" w:hAnsi="宋体" w:eastAsia="宋体"/>
          <w:sz w:val="24"/>
        </w:rPr>
        <w:t>运输运营</w:t>
      </w:r>
      <w:r>
        <w:rPr>
          <w:rFonts w:ascii="宋体" w:hAnsi="宋体" w:eastAsia="宋体"/>
          <w:sz w:val="24"/>
        </w:rPr>
        <w:t>过程中的安全管理，提高安全维护水平，保持运行维护的安全工作秩序，以保证现场人员和设备</w:t>
      </w:r>
      <w:r>
        <w:rPr>
          <w:rFonts w:hint="eastAsia" w:ascii="宋体" w:hAnsi="宋体" w:eastAsia="宋体"/>
          <w:sz w:val="24"/>
        </w:rPr>
        <w:t>设施</w:t>
      </w:r>
      <w:r>
        <w:rPr>
          <w:rFonts w:ascii="宋体" w:hAnsi="宋体" w:eastAsia="宋体"/>
          <w:sz w:val="24"/>
        </w:rPr>
        <w:t>在运行维护过程中的安全与健康。</w:t>
      </w:r>
    </w:p>
    <w:p w14:paraId="6DE034BA">
      <w:pPr>
        <w:spacing w:line="360" w:lineRule="auto"/>
        <w:ind w:firstLine="420"/>
        <w:rPr>
          <w:rFonts w:ascii="宋体" w:hAnsi="宋体" w:eastAsia="宋体"/>
        </w:rPr>
      </w:pPr>
      <w:r>
        <w:rPr>
          <w:rFonts w:ascii="宋体" w:hAnsi="宋体" w:eastAsia="宋体"/>
          <w:sz w:val="24"/>
        </w:rPr>
        <w:t>2、因乙方违反国家、行业、地方和甲方有关安全工作的规定、规程，造成人员伤亡和设备、设施损坏事故的，乙方</w:t>
      </w:r>
      <w:r>
        <w:rPr>
          <w:rFonts w:hint="eastAsia" w:ascii="宋体" w:hAnsi="宋体" w:eastAsia="宋体"/>
          <w:sz w:val="24"/>
        </w:rPr>
        <w:t>承诺全部</w:t>
      </w:r>
      <w:r>
        <w:rPr>
          <w:rFonts w:ascii="宋体" w:hAnsi="宋体" w:eastAsia="宋体"/>
          <w:sz w:val="24"/>
        </w:rPr>
        <w:t>承担</w:t>
      </w:r>
      <w:r>
        <w:rPr>
          <w:rFonts w:hint="eastAsia" w:ascii="宋体" w:hAnsi="宋体" w:eastAsia="宋体"/>
          <w:sz w:val="24"/>
        </w:rPr>
        <w:t>其法律与经济责任</w:t>
      </w:r>
      <w:r>
        <w:rPr>
          <w:rFonts w:ascii="宋体" w:hAnsi="宋体" w:eastAsia="宋体"/>
          <w:sz w:val="24"/>
        </w:rPr>
        <w:t>，造成的经济损失甲方可从应付给或将要付给乙方的款项中扣回，不足部分由乙方在扣除之日起一个月内补足完整。</w:t>
      </w:r>
    </w:p>
    <w:p w14:paraId="769570B3">
      <w:pPr>
        <w:spacing w:line="360" w:lineRule="auto"/>
        <w:ind w:firstLine="420"/>
        <w:rPr>
          <w:rFonts w:ascii="宋体" w:hAnsi="宋体" w:eastAsia="宋体"/>
        </w:rPr>
      </w:pPr>
      <w:r>
        <w:rPr>
          <w:rFonts w:ascii="宋体" w:hAnsi="宋体" w:eastAsia="宋体"/>
          <w:sz w:val="24"/>
        </w:rPr>
        <w:t>3、乙方的现场经理是本单位的安全第一责任人，必须亲自抓安全，必须建立严密的安全监察网络和有效的安全保障体系。</w:t>
      </w:r>
    </w:p>
    <w:p w14:paraId="37D88A1E">
      <w:pPr>
        <w:spacing w:line="360" w:lineRule="auto"/>
        <w:ind w:firstLine="420"/>
        <w:rPr>
          <w:rFonts w:ascii="宋体" w:hAnsi="宋体" w:eastAsia="宋体"/>
          <w:sz w:val="24"/>
        </w:rPr>
      </w:pPr>
      <w:r>
        <w:rPr>
          <w:rFonts w:ascii="宋体" w:hAnsi="宋体" w:eastAsia="宋体"/>
          <w:sz w:val="24"/>
        </w:rPr>
        <w:t>4、乙方员工上岗前必须进行适应新岗位、新操作方法的安全技术教育和实际操作训练，经考试合格后方可上岗。乙方特殊工种人员必须经过国家规定的专业培训，取得特种作业操作资格证书，按规定持证上岗。其人员技术档案、上岗合格证和特种作业资格证报甲方相关部门备案。</w:t>
      </w:r>
    </w:p>
    <w:p w14:paraId="09A5880A">
      <w:pPr>
        <w:spacing w:line="360" w:lineRule="auto"/>
        <w:ind w:firstLine="420"/>
        <w:rPr>
          <w:rFonts w:ascii="宋体" w:hAnsi="宋体" w:eastAsia="宋体"/>
          <w:sz w:val="24"/>
        </w:rPr>
      </w:pPr>
      <w:r>
        <w:rPr>
          <w:rFonts w:hint="eastAsia" w:ascii="宋体" w:hAnsi="宋体" w:eastAsia="宋体"/>
          <w:sz w:val="24"/>
        </w:rPr>
        <w:t>5、乙方履行本合同期间，因乙方飞灰运输及填埋作业实施过程中，发生了安全及环境环保事件事故等，造成政府或其他职能部门相关处罚的，全部由乙方承担所有经济与法律责任。</w:t>
      </w:r>
    </w:p>
    <w:p w14:paraId="3183D41D">
      <w:pPr>
        <w:spacing w:line="360" w:lineRule="auto"/>
        <w:rPr>
          <w:rFonts w:ascii="宋体" w:hAnsi="宋体" w:eastAsia="宋体"/>
        </w:rPr>
      </w:pPr>
      <w:r>
        <w:rPr>
          <w:rFonts w:ascii="宋体" w:hAnsi="宋体" w:eastAsia="宋体"/>
          <w:sz w:val="24"/>
        </w:rPr>
        <w:t>（十</w:t>
      </w:r>
      <w:r>
        <w:rPr>
          <w:rFonts w:hint="eastAsia" w:ascii="宋体" w:hAnsi="宋体" w:eastAsia="宋体"/>
          <w:sz w:val="24"/>
        </w:rPr>
        <w:t>八</w:t>
      </w:r>
      <w:r>
        <w:rPr>
          <w:rFonts w:ascii="宋体" w:hAnsi="宋体" w:eastAsia="宋体"/>
          <w:sz w:val="24"/>
        </w:rPr>
        <w:t>）其他事项</w:t>
      </w:r>
    </w:p>
    <w:p w14:paraId="2517956F">
      <w:pPr>
        <w:spacing w:line="360" w:lineRule="auto"/>
        <w:ind w:firstLine="420"/>
        <w:rPr>
          <w:rFonts w:ascii="宋体" w:hAnsi="宋体" w:eastAsia="宋体"/>
        </w:rPr>
      </w:pPr>
      <w:r>
        <w:rPr>
          <w:rFonts w:ascii="宋体" w:hAnsi="宋体" w:eastAsia="宋体"/>
          <w:sz w:val="24"/>
        </w:rPr>
        <w:t>1、针对合同范围内项目，乙方由于技术力量不足而不能胜任的，甲方有权委托有资质的人员进行实施，发生的费用由乙方承担，甲方有权将部分费用从应付乙方的设备运行和维护保养费中扣除，或乙方充实工作人员，直至满足现场工作要求为止。</w:t>
      </w:r>
    </w:p>
    <w:p w14:paraId="7898ED1C">
      <w:pPr>
        <w:spacing w:line="360" w:lineRule="auto"/>
        <w:ind w:firstLine="420"/>
        <w:rPr>
          <w:rFonts w:ascii="宋体" w:hAnsi="宋体" w:eastAsia="宋体"/>
        </w:rPr>
      </w:pPr>
      <w:r>
        <w:rPr>
          <w:rFonts w:ascii="宋体" w:hAnsi="宋体" w:eastAsia="宋体"/>
          <w:sz w:val="24"/>
        </w:rPr>
        <w:t>2、乙方根据承包项目的具体特点、要求和性质，选送合格的人员担任工作。特殊工种必须持证上岗。</w:t>
      </w:r>
    </w:p>
    <w:p w14:paraId="473535EA">
      <w:pPr>
        <w:pStyle w:val="16"/>
        <w:ind w:firstLine="480" w:firstLineChars="200"/>
        <w:rPr>
          <w:rFonts w:ascii="宋体" w:hAnsi="宋体" w:eastAsia="宋体"/>
          <w:sz w:val="24"/>
        </w:rPr>
      </w:pPr>
      <w:r>
        <w:rPr>
          <w:rFonts w:ascii="宋体" w:hAnsi="宋体" w:eastAsia="宋体"/>
          <w:sz w:val="24"/>
        </w:rPr>
        <w:t>3、项目运行维护期间，乙方应无条件执行甲方关于项目</w:t>
      </w:r>
      <w:r>
        <w:rPr>
          <w:rFonts w:hint="eastAsia" w:ascii="宋体" w:hAnsi="宋体" w:eastAsia="宋体"/>
          <w:sz w:val="24"/>
        </w:rPr>
        <w:t>管理上</w:t>
      </w:r>
      <w:r>
        <w:rPr>
          <w:rFonts w:ascii="宋体" w:hAnsi="宋体" w:eastAsia="宋体"/>
          <w:sz w:val="24"/>
        </w:rPr>
        <w:t>变更的决定</w:t>
      </w:r>
      <w:r>
        <w:rPr>
          <w:rFonts w:hint="eastAsia" w:ascii="宋体" w:hAnsi="宋体" w:eastAsia="宋体" w:cs="宋体"/>
          <w:sz w:val="24"/>
        </w:rPr>
        <w:t>。</w:t>
      </w:r>
    </w:p>
    <w:p w14:paraId="48B88D5E">
      <w:pPr>
        <w:spacing w:line="360" w:lineRule="auto"/>
        <w:ind w:firstLine="420"/>
        <w:rPr>
          <w:rFonts w:ascii="宋体" w:hAnsi="宋体" w:eastAsia="宋体"/>
        </w:rPr>
      </w:pPr>
      <w:r>
        <w:rPr>
          <w:rFonts w:ascii="宋体" w:hAnsi="宋体" w:eastAsia="宋体"/>
          <w:sz w:val="24"/>
        </w:rPr>
        <w:t>二、乙方拟派服务团队成员需具备相关专业技术能力或相关工作经验。在处理飞灰时，所有团队成员应均在场，并进行签到作为在场证明。</w:t>
      </w:r>
    </w:p>
    <w:p w14:paraId="01A7D8C1">
      <w:pPr>
        <w:spacing w:line="360" w:lineRule="auto"/>
        <w:ind w:firstLine="420"/>
        <w:rPr>
          <w:rFonts w:ascii="宋体" w:hAnsi="宋体" w:eastAsia="宋体"/>
        </w:rPr>
      </w:pPr>
      <w:r>
        <w:rPr>
          <w:rFonts w:ascii="宋体" w:hAnsi="宋体" w:eastAsia="宋体"/>
          <w:sz w:val="24"/>
        </w:rPr>
        <w:t>附件1</w:t>
      </w:r>
    </w:p>
    <w:p w14:paraId="50224FDB">
      <w:pPr>
        <w:spacing w:line="360" w:lineRule="auto"/>
        <w:ind w:firstLine="420"/>
        <w:jc w:val="center"/>
        <w:rPr>
          <w:rFonts w:ascii="宋体" w:hAnsi="宋体" w:eastAsia="宋体"/>
        </w:rPr>
      </w:pPr>
      <w:r>
        <w:rPr>
          <w:rFonts w:ascii="宋体" w:hAnsi="宋体" w:eastAsia="宋体"/>
          <w:sz w:val="24"/>
        </w:rPr>
        <w:t>主要材料性能要求</w:t>
      </w:r>
    </w:p>
    <w:tbl>
      <w:tblPr>
        <w:tblStyle w:val="4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9"/>
        <w:gridCol w:w="1234"/>
        <w:gridCol w:w="2272"/>
        <w:gridCol w:w="2749"/>
        <w:gridCol w:w="1431"/>
      </w:tblGrid>
      <w:tr w14:paraId="6A42FE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single" w:color="000000" w:sz="4" w:space="0"/>
              <w:left w:val="single" w:color="000000" w:sz="4" w:space="0"/>
              <w:bottom w:val="single" w:color="000000" w:sz="4" w:space="0"/>
              <w:right w:val="single" w:color="000000" w:sz="4" w:space="0"/>
            </w:tcBorders>
          </w:tcPr>
          <w:p w14:paraId="64598EC5">
            <w:pPr>
              <w:jc w:val="center"/>
              <w:rPr>
                <w:rFonts w:ascii="宋体" w:hAnsi="宋体" w:eastAsia="宋体"/>
              </w:rPr>
            </w:pPr>
            <w:r>
              <w:rPr>
                <w:rFonts w:ascii="宋体" w:hAnsi="宋体" w:eastAsia="宋体"/>
                <w:sz w:val="24"/>
              </w:rPr>
              <w:t>序号</w:t>
            </w:r>
          </w:p>
        </w:tc>
        <w:tc>
          <w:tcPr>
            <w:tcW w:w="1234" w:type="dxa"/>
            <w:tcBorders>
              <w:top w:val="single" w:color="000000" w:sz="4" w:space="0"/>
              <w:left w:val="nil"/>
              <w:bottom w:val="single" w:color="000000" w:sz="4" w:space="0"/>
              <w:right w:val="single" w:color="000000" w:sz="4" w:space="0"/>
            </w:tcBorders>
          </w:tcPr>
          <w:p w14:paraId="69DB7177">
            <w:pPr>
              <w:jc w:val="center"/>
              <w:rPr>
                <w:rFonts w:ascii="宋体" w:hAnsi="宋体" w:eastAsia="宋体"/>
              </w:rPr>
            </w:pPr>
            <w:r>
              <w:rPr>
                <w:rFonts w:ascii="宋体" w:hAnsi="宋体" w:eastAsia="宋体"/>
                <w:sz w:val="24"/>
              </w:rPr>
              <w:t>材料名称</w:t>
            </w:r>
          </w:p>
        </w:tc>
        <w:tc>
          <w:tcPr>
            <w:tcW w:w="2272" w:type="dxa"/>
            <w:tcBorders>
              <w:top w:val="single" w:color="000000" w:sz="4" w:space="0"/>
              <w:left w:val="nil"/>
              <w:bottom w:val="single" w:color="000000" w:sz="4" w:space="0"/>
              <w:right w:val="single" w:color="000000" w:sz="4" w:space="0"/>
            </w:tcBorders>
          </w:tcPr>
          <w:p w14:paraId="76266D9A">
            <w:pPr>
              <w:jc w:val="center"/>
              <w:rPr>
                <w:rFonts w:ascii="宋体" w:hAnsi="宋体" w:eastAsia="宋体"/>
              </w:rPr>
            </w:pPr>
            <w:r>
              <w:rPr>
                <w:rFonts w:ascii="宋体" w:hAnsi="宋体" w:eastAsia="宋体"/>
                <w:sz w:val="24"/>
              </w:rPr>
              <w:t>执行标准</w:t>
            </w:r>
          </w:p>
        </w:tc>
        <w:tc>
          <w:tcPr>
            <w:tcW w:w="2749" w:type="dxa"/>
            <w:tcBorders>
              <w:top w:val="single" w:color="000000" w:sz="4" w:space="0"/>
              <w:left w:val="nil"/>
              <w:bottom w:val="single" w:color="000000" w:sz="4" w:space="0"/>
              <w:right w:val="single" w:color="000000" w:sz="4" w:space="0"/>
            </w:tcBorders>
          </w:tcPr>
          <w:p w14:paraId="71A3D763">
            <w:pPr>
              <w:jc w:val="center"/>
              <w:rPr>
                <w:rFonts w:ascii="宋体" w:hAnsi="宋体" w:eastAsia="宋体"/>
              </w:rPr>
            </w:pPr>
            <w:r>
              <w:rPr>
                <w:rFonts w:ascii="宋体" w:hAnsi="宋体" w:eastAsia="宋体"/>
                <w:sz w:val="24"/>
              </w:rPr>
              <w:t>主要性能要求</w:t>
            </w:r>
          </w:p>
        </w:tc>
        <w:tc>
          <w:tcPr>
            <w:tcW w:w="1431" w:type="dxa"/>
            <w:tcBorders>
              <w:top w:val="single" w:color="000000" w:sz="4" w:space="0"/>
              <w:left w:val="nil"/>
              <w:bottom w:val="single" w:color="000000" w:sz="4" w:space="0"/>
              <w:right w:val="single" w:color="000000" w:sz="4" w:space="0"/>
            </w:tcBorders>
          </w:tcPr>
          <w:p w14:paraId="2396D7ED">
            <w:pPr>
              <w:jc w:val="center"/>
              <w:rPr>
                <w:rFonts w:ascii="宋体" w:hAnsi="宋体" w:eastAsia="宋体"/>
              </w:rPr>
            </w:pPr>
            <w:r>
              <w:rPr>
                <w:rFonts w:ascii="宋体" w:hAnsi="宋体" w:eastAsia="宋体"/>
                <w:sz w:val="24"/>
              </w:rPr>
              <w:t>备注</w:t>
            </w:r>
          </w:p>
        </w:tc>
      </w:tr>
      <w:tr w14:paraId="6E946E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7AF8FE0E">
            <w:pPr>
              <w:jc w:val="center"/>
              <w:rPr>
                <w:rFonts w:ascii="宋体" w:hAnsi="宋体" w:eastAsia="宋体"/>
              </w:rPr>
            </w:pPr>
            <w:r>
              <w:rPr>
                <w:rFonts w:ascii="宋体" w:hAnsi="宋体" w:eastAsia="宋体"/>
                <w:sz w:val="24"/>
              </w:rPr>
              <w:t>1</w:t>
            </w:r>
          </w:p>
        </w:tc>
        <w:tc>
          <w:tcPr>
            <w:tcW w:w="1234" w:type="dxa"/>
            <w:tcBorders>
              <w:top w:val="nil"/>
              <w:left w:val="nil"/>
              <w:bottom w:val="single" w:color="000000" w:sz="4" w:space="0"/>
              <w:right w:val="single" w:color="000000" w:sz="4" w:space="0"/>
            </w:tcBorders>
          </w:tcPr>
          <w:p w14:paraId="4AD4638E">
            <w:pPr>
              <w:jc w:val="center"/>
              <w:rPr>
                <w:rFonts w:ascii="宋体" w:hAnsi="宋体" w:eastAsia="宋体"/>
              </w:rPr>
            </w:pPr>
            <w:r>
              <w:rPr>
                <w:rFonts w:ascii="宋体" w:hAnsi="宋体" w:eastAsia="宋体"/>
                <w:sz w:val="24"/>
              </w:rPr>
              <w:t>HDPE</w:t>
            </w:r>
          </w:p>
          <w:p w14:paraId="67373B22">
            <w:pPr>
              <w:jc w:val="center"/>
              <w:rPr>
                <w:rFonts w:ascii="宋体" w:hAnsi="宋体" w:eastAsia="宋体"/>
              </w:rPr>
            </w:pPr>
            <w:r>
              <w:rPr>
                <w:rFonts w:ascii="宋体" w:hAnsi="宋体" w:eastAsia="宋体"/>
                <w:sz w:val="24"/>
              </w:rPr>
              <w:t>防渗膜</w:t>
            </w:r>
          </w:p>
        </w:tc>
        <w:tc>
          <w:tcPr>
            <w:tcW w:w="2272" w:type="dxa"/>
            <w:tcBorders>
              <w:top w:val="nil"/>
              <w:left w:val="nil"/>
              <w:bottom w:val="single" w:color="000000" w:sz="4" w:space="0"/>
              <w:right w:val="single" w:color="000000" w:sz="4" w:space="0"/>
            </w:tcBorders>
          </w:tcPr>
          <w:p w14:paraId="4F5D5252">
            <w:pPr>
              <w:jc w:val="center"/>
              <w:rPr>
                <w:rFonts w:ascii="宋体" w:hAnsi="宋体" w:eastAsia="宋体"/>
              </w:rPr>
            </w:pPr>
            <w:r>
              <w:rPr>
                <w:rFonts w:ascii="宋体" w:hAnsi="宋体" w:eastAsia="宋体"/>
                <w:sz w:val="24"/>
              </w:rPr>
              <w:t>生活垃圾卫生填埋场防渗系统工程技术标准GBT51403-2021</w:t>
            </w:r>
          </w:p>
        </w:tc>
        <w:tc>
          <w:tcPr>
            <w:tcW w:w="2749" w:type="dxa"/>
            <w:tcBorders>
              <w:top w:val="nil"/>
              <w:left w:val="nil"/>
              <w:bottom w:val="single" w:color="000000" w:sz="4" w:space="0"/>
              <w:right w:val="single" w:color="000000" w:sz="4" w:space="0"/>
            </w:tcBorders>
          </w:tcPr>
          <w:p w14:paraId="509443E9">
            <w:pPr>
              <w:jc w:val="center"/>
              <w:rPr>
                <w:rFonts w:ascii="宋体" w:hAnsi="宋体" w:eastAsia="宋体"/>
              </w:rPr>
            </w:pPr>
            <w:r>
              <w:rPr>
                <w:rFonts w:ascii="宋体" w:hAnsi="宋体" w:eastAsia="宋体"/>
                <w:sz w:val="24"/>
              </w:rPr>
              <w:t>1.00mm双光面（底膜和中间隔离层包裹飞灰），0.5mm双光面（临时覆盖）</w:t>
            </w:r>
          </w:p>
        </w:tc>
        <w:tc>
          <w:tcPr>
            <w:tcW w:w="1431" w:type="dxa"/>
            <w:tcBorders>
              <w:top w:val="nil"/>
              <w:left w:val="nil"/>
              <w:bottom w:val="single" w:color="000000" w:sz="4" w:space="0"/>
              <w:right w:val="single" w:color="000000" w:sz="4" w:space="0"/>
            </w:tcBorders>
          </w:tcPr>
          <w:p w14:paraId="7CC47864">
            <w:pPr>
              <w:jc w:val="center"/>
              <w:rPr>
                <w:rFonts w:ascii="宋体" w:hAnsi="宋体" w:eastAsia="宋体"/>
              </w:rPr>
            </w:pPr>
            <w:r>
              <w:rPr>
                <w:rFonts w:ascii="宋体" w:hAnsi="宋体" w:eastAsia="宋体"/>
                <w:sz w:val="24"/>
              </w:rPr>
              <w:t>防渗、雨污分流</w:t>
            </w:r>
          </w:p>
        </w:tc>
      </w:tr>
      <w:tr w14:paraId="0DC8B4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39ED4FC0">
            <w:pPr>
              <w:jc w:val="center"/>
              <w:rPr>
                <w:rFonts w:ascii="宋体" w:hAnsi="宋体" w:eastAsia="宋体"/>
              </w:rPr>
            </w:pPr>
            <w:r>
              <w:rPr>
                <w:rFonts w:ascii="宋体" w:hAnsi="宋体" w:eastAsia="宋体"/>
                <w:sz w:val="24"/>
              </w:rPr>
              <w:t>2</w:t>
            </w:r>
          </w:p>
        </w:tc>
        <w:tc>
          <w:tcPr>
            <w:tcW w:w="1234" w:type="dxa"/>
            <w:tcBorders>
              <w:top w:val="nil"/>
              <w:left w:val="nil"/>
              <w:bottom w:val="single" w:color="000000" w:sz="4" w:space="0"/>
              <w:right w:val="single" w:color="000000" w:sz="4" w:space="0"/>
            </w:tcBorders>
          </w:tcPr>
          <w:p w14:paraId="5620FA23">
            <w:pPr>
              <w:jc w:val="center"/>
              <w:rPr>
                <w:rFonts w:ascii="宋体" w:hAnsi="宋体" w:eastAsia="宋体"/>
              </w:rPr>
            </w:pPr>
            <w:r>
              <w:rPr>
                <w:rFonts w:ascii="宋体" w:hAnsi="宋体" w:eastAsia="宋体"/>
                <w:sz w:val="24"/>
              </w:rPr>
              <w:t>粗砂头</w:t>
            </w:r>
          </w:p>
        </w:tc>
        <w:tc>
          <w:tcPr>
            <w:tcW w:w="2272" w:type="dxa"/>
            <w:tcBorders>
              <w:top w:val="nil"/>
              <w:left w:val="nil"/>
              <w:bottom w:val="single" w:color="000000" w:sz="4" w:space="0"/>
              <w:right w:val="single" w:color="000000" w:sz="4" w:space="0"/>
            </w:tcBorders>
          </w:tcPr>
          <w:p w14:paraId="488FE698">
            <w:pPr>
              <w:ind w:firstLine="420"/>
              <w:jc w:val="center"/>
              <w:rPr>
                <w:rFonts w:ascii="宋体" w:hAnsi="宋体" w:eastAsia="宋体"/>
              </w:rPr>
            </w:pPr>
          </w:p>
        </w:tc>
        <w:tc>
          <w:tcPr>
            <w:tcW w:w="2749" w:type="dxa"/>
            <w:tcBorders>
              <w:top w:val="nil"/>
              <w:left w:val="nil"/>
              <w:bottom w:val="single" w:color="000000" w:sz="4" w:space="0"/>
              <w:right w:val="single" w:color="000000" w:sz="4" w:space="0"/>
            </w:tcBorders>
          </w:tcPr>
          <w:p w14:paraId="0F66A96D">
            <w:pPr>
              <w:jc w:val="center"/>
              <w:rPr>
                <w:rFonts w:ascii="宋体" w:hAnsi="宋体" w:eastAsia="宋体"/>
              </w:rPr>
            </w:pPr>
            <w:r>
              <w:rPr>
                <w:rFonts w:ascii="宋体" w:hAnsi="宋体" w:eastAsia="宋体"/>
                <w:sz w:val="24"/>
              </w:rPr>
              <w:t>水洗砂筛下的粗砂头</w:t>
            </w:r>
          </w:p>
        </w:tc>
        <w:tc>
          <w:tcPr>
            <w:tcW w:w="1431" w:type="dxa"/>
            <w:tcBorders>
              <w:top w:val="nil"/>
              <w:left w:val="nil"/>
              <w:bottom w:val="single" w:color="000000" w:sz="4" w:space="0"/>
              <w:right w:val="single" w:color="000000" w:sz="4" w:space="0"/>
            </w:tcBorders>
          </w:tcPr>
          <w:p w14:paraId="50D17A18">
            <w:pPr>
              <w:jc w:val="center"/>
              <w:rPr>
                <w:rFonts w:ascii="宋体" w:hAnsi="宋体" w:eastAsia="宋体"/>
              </w:rPr>
            </w:pPr>
            <w:r>
              <w:rPr>
                <w:rFonts w:ascii="宋体" w:hAnsi="宋体" w:eastAsia="宋体"/>
                <w:sz w:val="24"/>
              </w:rPr>
              <w:t>压膜、导排</w:t>
            </w:r>
          </w:p>
        </w:tc>
      </w:tr>
      <w:tr w14:paraId="21EDD6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137827E3">
            <w:pPr>
              <w:jc w:val="center"/>
              <w:rPr>
                <w:rFonts w:ascii="宋体" w:hAnsi="宋体" w:eastAsia="宋体"/>
              </w:rPr>
            </w:pPr>
            <w:r>
              <w:rPr>
                <w:rFonts w:ascii="宋体" w:hAnsi="宋体" w:eastAsia="宋体"/>
                <w:sz w:val="24"/>
              </w:rPr>
              <w:t>3</w:t>
            </w:r>
          </w:p>
        </w:tc>
        <w:tc>
          <w:tcPr>
            <w:tcW w:w="1234" w:type="dxa"/>
            <w:tcBorders>
              <w:top w:val="nil"/>
              <w:left w:val="nil"/>
              <w:bottom w:val="single" w:color="000000" w:sz="4" w:space="0"/>
              <w:right w:val="single" w:color="000000" w:sz="4" w:space="0"/>
            </w:tcBorders>
          </w:tcPr>
          <w:p w14:paraId="50C2ECEA">
            <w:pPr>
              <w:jc w:val="center"/>
              <w:rPr>
                <w:rFonts w:ascii="宋体" w:hAnsi="宋体" w:eastAsia="宋体"/>
              </w:rPr>
            </w:pPr>
            <w:r>
              <w:rPr>
                <w:rFonts w:ascii="宋体" w:hAnsi="宋体" w:eastAsia="宋体"/>
                <w:sz w:val="24"/>
              </w:rPr>
              <w:t>防老化</w:t>
            </w:r>
          </w:p>
          <w:p w14:paraId="088F2548">
            <w:pPr>
              <w:jc w:val="center"/>
              <w:rPr>
                <w:rFonts w:ascii="宋体" w:hAnsi="宋体" w:eastAsia="宋体"/>
              </w:rPr>
            </w:pPr>
            <w:r>
              <w:rPr>
                <w:rFonts w:ascii="宋体" w:hAnsi="宋体" w:eastAsia="宋体"/>
                <w:sz w:val="24"/>
              </w:rPr>
              <w:t>编织袋</w:t>
            </w:r>
          </w:p>
        </w:tc>
        <w:tc>
          <w:tcPr>
            <w:tcW w:w="2272" w:type="dxa"/>
            <w:tcBorders>
              <w:top w:val="nil"/>
              <w:left w:val="nil"/>
              <w:bottom w:val="single" w:color="000000" w:sz="4" w:space="0"/>
              <w:right w:val="single" w:color="000000" w:sz="4" w:space="0"/>
            </w:tcBorders>
          </w:tcPr>
          <w:p w14:paraId="56997EDC">
            <w:pPr>
              <w:ind w:firstLine="420"/>
              <w:jc w:val="center"/>
              <w:rPr>
                <w:rFonts w:ascii="宋体" w:hAnsi="宋体" w:eastAsia="宋体"/>
              </w:rPr>
            </w:pPr>
          </w:p>
        </w:tc>
        <w:tc>
          <w:tcPr>
            <w:tcW w:w="2749" w:type="dxa"/>
            <w:tcBorders>
              <w:top w:val="nil"/>
              <w:left w:val="nil"/>
              <w:bottom w:val="single" w:color="000000" w:sz="4" w:space="0"/>
              <w:right w:val="single" w:color="000000" w:sz="4" w:space="0"/>
            </w:tcBorders>
          </w:tcPr>
          <w:p w14:paraId="3E11A795">
            <w:pPr>
              <w:jc w:val="center"/>
              <w:rPr>
                <w:rFonts w:ascii="宋体" w:hAnsi="宋体" w:eastAsia="宋体"/>
              </w:rPr>
            </w:pPr>
            <w:r>
              <w:rPr>
                <w:rFonts w:ascii="宋体" w:hAnsi="宋体" w:eastAsia="宋体"/>
                <w:sz w:val="24"/>
              </w:rPr>
              <w:t>装砂量不低于0.1米×0.4米×0.4米</w:t>
            </w:r>
          </w:p>
        </w:tc>
        <w:tc>
          <w:tcPr>
            <w:tcW w:w="1431" w:type="dxa"/>
            <w:tcBorders>
              <w:top w:val="nil"/>
              <w:left w:val="nil"/>
              <w:bottom w:val="single" w:color="000000" w:sz="4" w:space="0"/>
              <w:right w:val="single" w:color="000000" w:sz="4" w:space="0"/>
            </w:tcBorders>
          </w:tcPr>
          <w:p w14:paraId="7192981A">
            <w:pPr>
              <w:jc w:val="center"/>
              <w:rPr>
                <w:rFonts w:ascii="宋体" w:hAnsi="宋体" w:eastAsia="宋体"/>
              </w:rPr>
            </w:pPr>
            <w:r>
              <w:rPr>
                <w:rFonts w:ascii="宋体" w:hAnsi="宋体" w:eastAsia="宋体"/>
                <w:sz w:val="24"/>
              </w:rPr>
              <w:t>压膜、导排</w:t>
            </w:r>
          </w:p>
        </w:tc>
      </w:tr>
      <w:tr w14:paraId="491B2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0E307001">
            <w:pPr>
              <w:jc w:val="center"/>
              <w:rPr>
                <w:rFonts w:ascii="宋体" w:hAnsi="宋体" w:eastAsia="宋体"/>
              </w:rPr>
            </w:pPr>
            <w:r>
              <w:rPr>
                <w:rFonts w:ascii="宋体" w:hAnsi="宋体" w:eastAsia="宋体"/>
                <w:sz w:val="24"/>
              </w:rPr>
              <w:t>4</w:t>
            </w:r>
          </w:p>
        </w:tc>
        <w:tc>
          <w:tcPr>
            <w:tcW w:w="1234" w:type="dxa"/>
            <w:tcBorders>
              <w:top w:val="nil"/>
              <w:left w:val="nil"/>
              <w:bottom w:val="single" w:color="000000" w:sz="4" w:space="0"/>
              <w:right w:val="single" w:color="000000" w:sz="4" w:space="0"/>
            </w:tcBorders>
          </w:tcPr>
          <w:p w14:paraId="20081A6B">
            <w:pPr>
              <w:jc w:val="center"/>
              <w:rPr>
                <w:rFonts w:ascii="宋体" w:hAnsi="宋体" w:eastAsia="宋体"/>
              </w:rPr>
            </w:pPr>
            <w:r>
              <w:rPr>
                <w:rFonts w:ascii="宋体" w:hAnsi="宋体" w:eastAsia="宋体"/>
                <w:sz w:val="24"/>
              </w:rPr>
              <w:t>尼龙绳</w:t>
            </w:r>
          </w:p>
        </w:tc>
        <w:tc>
          <w:tcPr>
            <w:tcW w:w="2272" w:type="dxa"/>
            <w:tcBorders>
              <w:top w:val="nil"/>
              <w:left w:val="nil"/>
              <w:bottom w:val="single" w:color="000000" w:sz="4" w:space="0"/>
              <w:right w:val="single" w:color="000000" w:sz="4" w:space="0"/>
            </w:tcBorders>
          </w:tcPr>
          <w:p w14:paraId="51440A50">
            <w:pPr>
              <w:ind w:firstLine="420"/>
              <w:jc w:val="center"/>
              <w:rPr>
                <w:rFonts w:ascii="宋体" w:hAnsi="宋体" w:eastAsia="宋体"/>
              </w:rPr>
            </w:pPr>
          </w:p>
        </w:tc>
        <w:tc>
          <w:tcPr>
            <w:tcW w:w="2749" w:type="dxa"/>
            <w:tcBorders>
              <w:top w:val="nil"/>
              <w:left w:val="nil"/>
              <w:bottom w:val="single" w:color="000000" w:sz="4" w:space="0"/>
              <w:right w:val="single" w:color="000000" w:sz="4" w:space="0"/>
            </w:tcBorders>
          </w:tcPr>
          <w:p w14:paraId="6164FF72">
            <w:pPr>
              <w:jc w:val="center"/>
              <w:rPr>
                <w:rFonts w:ascii="宋体" w:hAnsi="宋体" w:eastAsia="宋体"/>
              </w:rPr>
            </w:pPr>
            <w:r>
              <w:rPr>
                <w:rFonts w:ascii="宋体" w:hAnsi="宋体" w:eastAsia="宋体"/>
                <w:sz w:val="24"/>
              </w:rPr>
              <w:t>Ø8mm</w:t>
            </w:r>
          </w:p>
        </w:tc>
        <w:tc>
          <w:tcPr>
            <w:tcW w:w="1431" w:type="dxa"/>
            <w:tcBorders>
              <w:top w:val="nil"/>
              <w:left w:val="nil"/>
              <w:bottom w:val="single" w:color="000000" w:sz="4" w:space="0"/>
              <w:right w:val="single" w:color="000000" w:sz="4" w:space="0"/>
            </w:tcBorders>
          </w:tcPr>
          <w:p w14:paraId="2C0FC5C2">
            <w:pPr>
              <w:jc w:val="center"/>
              <w:rPr>
                <w:rFonts w:ascii="宋体" w:hAnsi="宋体" w:eastAsia="宋体"/>
              </w:rPr>
            </w:pPr>
            <w:r>
              <w:rPr>
                <w:rFonts w:ascii="宋体" w:hAnsi="宋体" w:eastAsia="宋体"/>
                <w:sz w:val="24"/>
              </w:rPr>
              <w:t>袋口捆扎和结网压膜</w:t>
            </w:r>
          </w:p>
        </w:tc>
      </w:tr>
      <w:tr w14:paraId="39EAF1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7B17D655">
            <w:pPr>
              <w:jc w:val="center"/>
              <w:rPr>
                <w:rFonts w:ascii="宋体" w:hAnsi="宋体" w:eastAsia="宋体"/>
              </w:rPr>
            </w:pPr>
            <w:r>
              <w:rPr>
                <w:rFonts w:ascii="宋体" w:hAnsi="宋体" w:eastAsia="宋体"/>
                <w:sz w:val="24"/>
              </w:rPr>
              <w:t>5</w:t>
            </w:r>
          </w:p>
        </w:tc>
        <w:tc>
          <w:tcPr>
            <w:tcW w:w="1234" w:type="dxa"/>
            <w:tcBorders>
              <w:top w:val="nil"/>
              <w:left w:val="nil"/>
              <w:bottom w:val="single" w:color="000000" w:sz="4" w:space="0"/>
              <w:right w:val="single" w:color="000000" w:sz="4" w:space="0"/>
            </w:tcBorders>
          </w:tcPr>
          <w:p w14:paraId="68D144C5">
            <w:pPr>
              <w:jc w:val="center"/>
              <w:rPr>
                <w:rFonts w:ascii="宋体" w:hAnsi="宋体" w:eastAsia="宋体"/>
              </w:rPr>
            </w:pPr>
            <w:r>
              <w:rPr>
                <w:rFonts w:ascii="宋体" w:hAnsi="宋体" w:eastAsia="宋体"/>
                <w:sz w:val="24"/>
              </w:rPr>
              <w:t>砖渣</w:t>
            </w:r>
          </w:p>
        </w:tc>
        <w:tc>
          <w:tcPr>
            <w:tcW w:w="2272" w:type="dxa"/>
            <w:tcBorders>
              <w:top w:val="nil"/>
              <w:left w:val="nil"/>
              <w:bottom w:val="single" w:color="000000" w:sz="4" w:space="0"/>
              <w:right w:val="single" w:color="000000" w:sz="4" w:space="0"/>
            </w:tcBorders>
          </w:tcPr>
          <w:p w14:paraId="6A5A48EC">
            <w:pPr>
              <w:ind w:firstLine="420"/>
              <w:jc w:val="center"/>
              <w:rPr>
                <w:rFonts w:ascii="宋体" w:hAnsi="宋体" w:eastAsia="宋体"/>
              </w:rPr>
            </w:pPr>
          </w:p>
        </w:tc>
        <w:tc>
          <w:tcPr>
            <w:tcW w:w="2749" w:type="dxa"/>
            <w:tcBorders>
              <w:top w:val="nil"/>
              <w:left w:val="nil"/>
              <w:bottom w:val="single" w:color="000000" w:sz="4" w:space="0"/>
              <w:right w:val="single" w:color="000000" w:sz="4" w:space="0"/>
            </w:tcBorders>
          </w:tcPr>
          <w:p w14:paraId="6486CEC9">
            <w:pPr>
              <w:jc w:val="center"/>
              <w:rPr>
                <w:rFonts w:ascii="宋体" w:hAnsi="宋体" w:eastAsia="宋体"/>
              </w:rPr>
            </w:pPr>
            <w:r>
              <w:rPr>
                <w:rFonts w:ascii="宋体" w:hAnsi="宋体" w:eastAsia="宋体"/>
                <w:sz w:val="24"/>
              </w:rPr>
              <w:t>无钢筋、玻璃等易损坏轮胎的杂物</w:t>
            </w:r>
          </w:p>
        </w:tc>
        <w:tc>
          <w:tcPr>
            <w:tcW w:w="1431" w:type="dxa"/>
            <w:tcBorders>
              <w:top w:val="nil"/>
              <w:left w:val="nil"/>
              <w:bottom w:val="single" w:color="000000" w:sz="4" w:space="0"/>
              <w:right w:val="single" w:color="000000" w:sz="4" w:space="0"/>
            </w:tcBorders>
          </w:tcPr>
          <w:p w14:paraId="507D0710">
            <w:pPr>
              <w:jc w:val="center"/>
              <w:rPr>
                <w:rFonts w:ascii="宋体" w:hAnsi="宋体" w:eastAsia="宋体"/>
              </w:rPr>
            </w:pPr>
            <w:r>
              <w:rPr>
                <w:rFonts w:ascii="宋体" w:hAnsi="宋体" w:eastAsia="宋体"/>
                <w:sz w:val="24"/>
              </w:rPr>
              <w:t>临时道路、卸车平台</w:t>
            </w:r>
          </w:p>
        </w:tc>
      </w:tr>
      <w:tr w14:paraId="22AF4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7EBA0C51">
            <w:pPr>
              <w:jc w:val="center"/>
              <w:rPr>
                <w:rFonts w:ascii="宋体" w:hAnsi="宋体" w:eastAsia="宋体"/>
              </w:rPr>
            </w:pPr>
            <w:r>
              <w:rPr>
                <w:rFonts w:ascii="宋体" w:hAnsi="宋体" w:eastAsia="宋体"/>
                <w:sz w:val="24"/>
              </w:rPr>
              <w:t>6</w:t>
            </w:r>
          </w:p>
        </w:tc>
        <w:tc>
          <w:tcPr>
            <w:tcW w:w="1234" w:type="dxa"/>
            <w:tcBorders>
              <w:top w:val="nil"/>
              <w:left w:val="nil"/>
              <w:bottom w:val="single" w:color="000000" w:sz="4" w:space="0"/>
              <w:right w:val="single" w:color="000000" w:sz="4" w:space="0"/>
            </w:tcBorders>
          </w:tcPr>
          <w:p w14:paraId="373D86FE">
            <w:pPr>
              <w:jc w:val="center"/>
              <w:rPr>
                <w:rFonts w:ascii="宋体" w:hAnsi="宋体" w:eastAsia="宋体"/>
              </w:rPr>
            </w:pPr>
            <w:r>
              <w:rPr>
                <w:rFonts w:ascii="宋体" w:hAnsi="宋体" w:eastAsia="宋体"/>
                <w:sz w:val="24"/>
              </w:rPr>
              <w:t>粘土</w:t>
            </w:r>
          </w:p>
        </w:tc>
        <w:tc>
          <w:tcPr>
            <w:tcW w:w="2272" w:type="dxa"/>
            <w:tcBorders>
              <w:top w:val="nil"/>
              <w:left w:val="nil"/>
              <w:bottom w:val="single" w:color="000000" w:sz="4" w:space="0"/>
              <w:right w:val="single" w:color="000000" w:sz="4" w:space="0"/>
            </w:tcBorders>
          </w:tcPr>
          <w:p w14:paraId="6BA1B550">
            <w:pPr>
              <w:ind w:firstLine="420"/>
              <w:jc w:val="center"/>
              <w:rPr>
                <w:rFonts w:ascii="宋体" w:hAnsi="宋体" w:eastAsia="宋体"/>
              </w:rPr>
            </w:pPr>
          </w:p>
        </w:tc>
        <w:tc>
          <w:tcPr>
            <w:tcW w:w="2749" w:type="dxa"/>
            <w:tcBorders>
              <w:top w:val="nil"/>
              <w:left w:val="nil"/>
              <w:bottom w:val="single" w:color="000000" w:sz="4" w:space="0"/>
              <w:right w:val="single" w:color="000000" w:sz="4" w:space="0"/>
            </w:tcBorders>
          </w:tcPr>
          <w:p w14:paraId="19FC2055">
            <w:pPr>
              <w:jc w:val="center"/>
              <w:rPr>
                <w:rFonts w:ascii="宋体" w:hAnsi="宋体" w:eastAsia="宋体"/>
              </w:rPr>
            </w:pPr>
            <w:r>
              <w:rPr>
                <w:rFonts w:ascii="宋体" w:hAnsi="宋体" w:eastAsia="宋体"/>
                <w:sz w:val="24"/>
              </w:rPr>
              <w:t>无树枝、石头等杂物</w:t>
            </w:r>
          </w:p>
        </w:tc>
        <w:tc>
          <w:tcPr>
            <w:tcW w:w="1431" w:type="dxa"/>
            <w:tcBorders>
              <w:top w:val="nil"/>
              <w:left w:val="nil"/>
              <w:bottom w:val="single" w:color="000000" w:sz="4" w:space="0"/>
              <w:right w:val="single" w:color="000000" w:sz="4" w:space="0"/>
            </w:tcBorders>
          </w:tcPr>
          <w:p w14:paraId="55F6C5C0">
            <w:pPr>
              <w:jc w:val="center"/>
              <w:rPr>
                <w:rFonts w:ascii="宋体" w:hAnsi="宋体" w:eastAsia="宋体"/>
              </w:rPr>
            </w:pPr>
            <w:r>
              <w:rPr>
                <w:rFonts w:ascii="宋体" w:hAnsi="宋体" w:eastAsia="宋体"/>
                <w:sz w:val="24"/>
              </w:rPr>
              <w:t>中间隔离层找平</w:t>
            </w:r>
          </w:p>
        </w:tc>
      </w:tr>
      <w:tr w14:paraId="3F2F19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Pr>
          <w:p w14:paraId="0F2048AC">
            <w:pPr>
              <w:jc w:val="center"/>
              <w:rPr>
                <w:rFonts w:ascii="宋体" w:hAnsi="宋体" w:eastAsia="宋体"/>
              </w:rPr>
            </w:pPr>
            <w:r>
              <w:rPr>
                <w:rFonts w:ascii="宋体" w:hAnsi="宋体" w:eastAsia="宋体"/>
                <w:sz w:val="24"/>
              </w:rPr>
              <w:t>7</w:t>
            </w:r>
          </w:p>
        </w:tc>
        <w:tc>
          <w:tcPr>
            <w:tcW w:w="1234" w:type="dxa"/>
            <w:tcBorders>
              <w:top w:val="nil"/>
              <w:left w:val="nil"/>
              <w:bottom w:val="single" w:color="000000" w:sz="4" w:space="0"/>
              <w:right w:val="single" w:color="000000" w:sz="4" w:space="0"/>
            </w:tcBorders>
          </w:tcPr>
          <w:p w14:paraId="3C6543FD">
            <w:pPr>
              <w:jc w:val="center"/>
              <w:rPr>
                <w:rFonts w:ascii="宋体" w:hAnsi="宋体" w:eastAsia="宋体"/>
              </w:rPr>
            </w:pPr>
            <w:r>
              <w:rPr>
                <w:rFonts w:ascii="宋体" w:hAnsi="宋体" w:eastAsia="宋体"/>
                <w:sz w:val="24"/>
              </w:rPr>
              <w:t>碎石</w:t>
            </w:r>
          </w:p>
        </w:tc>
        <w:tc>
          <w:tcPr>
            <w:tcW w:w="2272" w:type="dxa"/>
            <w:tcBorders>
              <w:top w:val="nil"/>
              <w:left w:val="nil"/>
              <w:bottom w:val="single" w:color="000000" w:sz="4" w:space="0"/>
              <w:right w:val="single" w:color="000000" w:sz="4" w:space="0"/>
            </w:tcBorders>
          </w:tcPr>
          <w:p w14:paraId="60721F80">
            <w:pPr>
              <w:ind w:firstLine="420"/>
              <w:jc w:val="center"/>
              <w:rPr>
                <w:rFonts w:ascii="宋体" w:hAnsi="宋体" w:eastAsia="宋体"/>
              </w:rPr>
            </w:pPr>
          </w:p>
        </w:tc>
        <w:tc>
          <w:tcPr>
            <w:tcW w:w="2749" w:type="dxa"/>
            <w:tcBorders>
              <w:top w:val="nil"/>
              <w:left w:val="nil"/>
              <w:bottom w:val="single" w:color="000000" w:sz="4" w:space="0"/>
              <w:right w:val="single" w:color="000000" w:sz="4" w:space="0"/>
            </w:tcBorders>
          </w:tcPr>
          <w:p w14:paraId="4AB46B5B">
            <w:pPr>
              <w:ind w:firstLine="420"/>
              <w:jc w:val="center"/>
              <w:rPr>
                <w:rFonts w:ascii="宋体" w:hAnsi="宋体" w:eastAsia="宋体"/>
              </w:rPr>
            </w:pPr>
          </w:p>
        </w:tc>
        <w:tc>
          <w:tcPr>
            <w:tcW w:w="1431" w:type="dxa"/>
            <w:tcBorders>
              <w:top w:val="nil"/>
              <w:left w:val="nil"/>
              <w:bottom w:val="single" w:color="000000" w:sz="4" w:space="0"/>
              <w:right w:val="single" w:color="000000" w:sz="4" w:space="0"/>
            </w:tcBorders>
          </w:tcPr>
          <w:p w14:paraId="7AC755B8">
            <w:pPr>
              <w:jc w:val="center"/>
              <w:rPr>
                <w:rFonts w:ascii="宋体" w:hAnsi="宋体" w:eastAsia="宋体"/>
              </w:rPr>
            </w:pPr>
            <w:r>
              <w:rPr>
                <w:rFonts w:ascii="宋体" w:hAnsi="宋体" w:eastAsia="宋体"/>
                <w:sz w:val="24"/>
              </w:rPr>
              <w:t>抽水石笼、围堰等</w:t>
            </w:r>
          </w:p>
        </w:tc>
      </w:tr>
    </w:tbl>
    <w:p w14:paraId="1E8B433A">
      <w:pPr>
        <w:spacing w:line="360" w:lineRule="auto"/>
        <w:ind w:firstLine="480" w:firstLineChars="200"/>
        <w:rPr>
          <w:rFonts w:ascii="宋体" w:hAnsi="宋体" w:eastAsia="宋体"/>
        </w:rPr>
      </w:pPr>
      <w:r>
        <w:rPr>
          <w:rFonts w:ascii="宋体" w:hAnsi="宋体" w:eastAsia="宋体"/>
          <w:sz w:val="24"/>
        </w:rPr>
        <w:t>附件2</w:t>
      </w:r>
    </w:p>
    <w:p w14:paraId="0DBAD57F">
      <w:pPr>
        <w:spacing w:line="360" w:lineRule="auto"/>
        <w:ind w:firstLine="420"/>
        <w:jc w:val="center"/>
        <w:rPr>
          <w:rFonts w:ascii="宋体" w:hAnsi="宋体" w:eastAsia="宋体"/>
        </w:rPr>
      </w:pPr>
      <w:r>
        <w:rPr>
          <w:rFonts w:ascii="宋体" w:hAnsi="宋体" w:eastAsia="宋体"/>
          <w:sz w:val="24"/>
        </w:rPr>
        <w:t>高州市飞灰填埋场运营监管考核办法</w:t>
      </w:r>
    </w:p>
    <w:p w14:paraId="7E21381B">
      <w:pPr>
        <w:spacing w:line="360" w:lineRule="auto"/>
        <w:ind w:firstLine="480" w:firstLineChars="200"/>
        <w:rPr>
          <w:rFonts w:ascii="宋体" w:hAnsi="宋体" w:eastAsia="宋体"/>
        </w:rPr>
      </w:pPr>
      <w:r>
        <w:rPr>
          <w:rFonts w:ascii="宋体" w:hAnsi="宋体" w:eastAsia="宋体"/>
          <w:sz w:val="24"/>
        </w:rPr>
        <w:t>一、为进一步明确高州市飞灰填埋场运营监管规范要求，监督防范安全环保事件的发生，促进飞灰填埋场运营管理水平的提高，特制定实施本运营考核办法，对乙方进行考核。</w:t>
      </w:r>
    </w:p>
    <w:p w14:paraId="15048CA7">
      <w:pPr>
        <w:spacing w:line="360" w:lineRule="auto"/>
        <w:ind w:firstLine="420"/>
        <w:rPr>
          <w:rFonts w:ascii="宋体" w:hAnsi="宋体" w:eastAsia="宋体"/>
        </w:rPr>
      </w:pPr>
      <w:r>
        <w:rPr>
          <w:rFonts w:ascii="宋体" w:hAnsi="宋体" w:eastAsia="宋体"/>
          <w:sz w:val="24"/>
        </w:rPr>
        <w:t>二、运营监管考核周期为1个自然月。</w:t>
      </w:r>
    </w:p>
    <w:p w14:paraId="6205F709">
      <w:pPr>
        <w:spacing w:line="360" w:lineRule="auto"/>
        <w:ind w:firstLine="420"/>
        <w:rPr>
          <w:rFonts w:ascii="宋体" w:hAnsi="宋体" w:eastAsia="宋体"/>
        </w:rPr>
      </w:pPr>
      <w:r>
        <w:rPr>
          <w:rFonts w:ascii="宋体" w:hAnsi="宋体" w:eastAsia="宋体"/>
          <w:sz w:val="24"/>
        </w:rPr>
        <w:t>三、运营监管一个考核周期总分为100分。</w:t>
      </w:r>
    </w:p>
    <w:p w14:paraId="128C5263">
      <w:pPr>
        <w:spacing w:line="360" w:lineRule="auto"/>
        <w:ind w:firstLine="420"/>
        <w:rPr>
          <w:rFonts w:ascii="宋体" w:hAnsi="宋体" w:eastAsia="宋体"/>
        </w:rPr>
      </w:pPr>
      <w:r>
        <w:rPr>
          <w:rFonts w:ascii="宋体" w:hAnsi="宋体" w:eastAsia="宋体"/>
          <w:sz w:val="24"/>
        </w:rPr>
        <w:t>四、考核结束后，乙方应根据考核结果及时整改并反馈整改结果。</w:t>
      </w:r>
    </w:p>
    <w:p w14:paraId="54E6A1CA">
      <w:pPr>
        <w:spacing w:line="360" w:lineRule="auto"/>
        <w:ind w:firstLine="420"/>
        <w:rPr>
          <w:rFonts w:ascii="宋体" w:hAnsi="宋体" w:eastAsia="宋体"/>
        </w:rPr>
      </w:pPr>
      <w:r>
        <w:rPr>
          <w:rFonts w:ascii="宋体" w:hAnsi="宋体" w:eastAsia="宋体"/>
          <w:sz w:val="24"/>
        </w:rPr>
        <w:t>五、为与最新发布的生活垃圾处置相关法规、标准、指引等要求紧密对接，本运营考核办法将根据实际情况按需修订。</w:t>
      </w:r>
    </w:p>
    <w:p w14:paraId="2402ACCE">
      <w:pPr>
        <w:spacing w:line="360" w:lineRule="auto"/>
        <w:ind w:firstLine="420"/>
        <w:rPr>
          <w:rFonts w:ascii="宋体" w:hAnsi="宋体" w:eastAsia="宋体"/>
        </w:rPr>
      </w:pPr>
      <w:r>
        <w:rPr>
          <w:rFonts w:ascii="宋体" w:hAnsi="宋体" w:eastAsia="宋体"/>
          <w:sz w:val="24"/>
        </w:rPr>
        <w:t>附：高州市飞灰填埋场运营监管考核细则</w:t>
      </w:r>
    </w:p>
    <w:tbl>
      <w:tblPr>
        <w:tblStyle w:val="4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3"/>
        <w:gridCol w:w="456"/>
        <w:gridCol w:w="1422"/>
        <w:gridCol w:w="456"/>
        <w:gridCol w:w="3043"/>
        <w:gridCol w:w="1351"/>
        <w:gridCol w:w="810"/>
      </w:tblGrid>
      <w:tr w14:paraId="6C22D6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restart"/>
            <w:tcBorders>
              <w:top w:val="single" w:color="000000" w:sz="4" w:space="0"/>
              <w:left w:val="single" w:color="000000" w:sz="4" w:space="0"/>
              <w:bottom w:val="single" w:color="000000" w:sz="4" w:space="0"/>
              <w:right w:val="single" w:color="000000" w:sz="4" w:space="0"/>
            </w:tcBorders>
          </w:tcPr>
          <w:p w14:paraId="5C53DD40">
            <w:pPr>
              <w:jc w:val="center"/>
              <w:rPr>
                <w:rFonts w:ascii="宋体" w:hAnsi="宋体" w:eastAsia="宋体"/>
              </w:rPr>
            </w:pPr>
            <w:r>
              <w:rPr>
                <w:rFonts w:ascii="宋体" w:hAnsi="宋体" w:eastAsia="宋体"/>
                <w:sz w:val="24"/>
              </w:rPr>
              <w:t>总项</w:t>
            </w:r>
          </w:p>
        </w:tc>
        <w:tc>
          <w:tcPr>
            <w:tcW w:w="1791" w:type="dxa"/>
            <w:gridSpan w:val="2"/>
            <w:tcBorders>
              <w:top w:val="single" w:color="000000" w:sz="4" w:space="0"/>
              <w:left w:val="single" w:color="000000" w:sz="4" w:space="0"/>
              <w:bottom w:val="single" w:color="000000" w:sz="4" w:space="0"/>
              <w:right w:val="single" w:color="000000" w:sz="4" w:space="0"/>
            </w:tcBorders>
          </w:tcPr>
          <w:p w14:paraId="1A28486B">
            <w:pPr>
              <w:jc w:val="center"/>
              <w:rPr>
                <w:rFonts w:ascii="宋体" w:hAnsi="宋体" w:eastAsia="宋体"/>
              </w:rPr>
            </w:pPr>
            <w:r>
              <w:rPr>
                <w:rFonts w:ascii="宋体" w:hAnsi="宋体" w:eastAsia="宋体"/>
                <w:sz w:val="24"/>
              </w:rPr>
              <w:t>分项</w:t>
            </w:r>
          </w:p>
        </w:tc>
        <w:tc>
          <w:tcPr>
            <w:tcW w:w="3469" w:type="dxa"/>
            <w:gridSpan w:val="2"/>
            <w:tcBorders>
              <w:top w:val="single" w:color="000000" w:sz="4" w:space="0"/>
              <w:left w:val="single" w:color="000000" w:sz="4" w:space="0"/>
              <w:bottom w:val="single" w:color="000000" w:sz="4" w:space="0"/>
              <w:right w:val="single" w:color="000000" w:sz="4" w:space="0"/>
            </w:tcBorders>
          </w:tcPr>
          <w:p w14:paraId="1A640021">
            <w:pPr>
              <w:jc w:val="center"/>
              <w:rPr>
                <w:rFonts w:ascii="宋体" w:hAnsi="宋体" w:eastAsia="宋体"/>
              </w:rPr>
            </w:pPr>
            <w:r>
              <w:rPr>
                <w:rFonts w:ascii="宋体" w:hAnsi="宋体" w:eastAsia="宋体"/>
                <w:sz w:val="24"/>
              </w:rPr>
              <w:t>标准要求</w:t>
            </w:r>
          </w:p>
        </w:tc>
        <w:tc>
          <w:tcPr>
            <w:tcW w:w="2161" w:type="dxa"/>
            <w:gridSpan w:val="2"/>
            <w:tcBorders>
              <w:top w:val="single" w:color="000000" w:sz="4" w:space="0"/>
              <w:left w:val="single" w:color="000000" w:sz="4" w:space="0"/>
              <w:bottom w:val="single" w:color="000000" w:sz="4" w:space="0"/>
              <w:right w:val="single" w:color="000000" w:sz="4" w:space="0"/>
            </w:tcBorders>
          </w:tcPr>
          <w:p w14:paraId="4DA5AFB0">
            <w:pPr>
              <w:jc w:val="center"/>
              <w:rPr>
                <w:rFonts w:ascii="宋体" w:hAnsi="宋体" w:eastAsia="宋体"/>
              </w:rPr>
            </w:pPr>
            <w:r>
              <w:rPr>
                <w:rFonts w:ascii="宋体" w:hAnsi="宋体" w:eastAsia="宋体"/>
                <w:sz w:val="24"/>
              </w:rPr>
              <w:t>考核项目</w:t>
            </w:r>
          </w:p>
        </w:tc>
      </w:tr>
      <w:tr w14:paraId="6F15F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single" w:color="000000" w:sz="4" w:space="0"/>
              <w:left w:val="single" w:color="000000" w:sz="4" w:space="0"/>
              <w:bottom w:val="single" w:color="000000" w:sz="4" w:space="0"/>
              <w:right w:val="single" w:color="000000" w:sz="4" w:space="0"/>
            </w:tcBorders>
          </w:tcPr>
          <w:p w14:paraId="739BE726">
            <w:pPr>
              <w:rPr>
                <w:rFonts w:ascii="宋体" w:hAnsi="宋体" w:eastAsia="宋体"/>
              </w:rPr>
            </w:pPr>
          </w:p>
        </w:tc>
        <w:tc>
          <w:tcPr>
            <w:tcW w:w="369" w:type="dxa"/>
            <w:tcBorders>
              <w:top w:val="nil"/>
              <w:left w:val="single" w:color="000000" w:sz="4" w:space="0"/>
              <w:bottom w:val="single" w:color="000000" w:sz="4" w:space="0"/>
              <w:right w:val="single" w:color="000000" w:sz="4" w:space="0"/>
            </w:tcBorders>
          </w:tcPr>
          <w:p w14:paraId="02457E9A">
            <w:pPr>
              <w:jc w:val="center"/>
              <w:rPr>
                <w:rFonts w:ascii="宋体" w:hAnsi="宋体" w:eastAsia="宋体"/>
              </w:rPr>
            </w:pPr>
            <w:r>
              <w:rPr>
                <w:rFonts w:ascii="宋体" w:hAnsi="宋体" w:eastAsia="宋体"/>
                <w:sz w:val="24"/>
              </w:rPr>
              <w:t>项序</w:t>
            </w:r>
          </w:p>
        </w:tc>
        <w:tc>
          <w:tcPr>
            <w:tcW w:w="1422" w:type="dxa"/>
            <w:tcBorders>
              <w:top w:val="nil"/>
              <w:left w:val="single" w:color="000000" w:sz="4" w:space="0"/>
              <w:bottom w:val="single" w:color="000000" w:sz="4" w:space="0"/>
              <w:right w:val="single" w:color="000000" w:sz="4" w:space="0"/>
            </w:tcBorders>
          </w:tcPr>
          <w:p w14:paraId="28CEF5A2">
            <w:pPr>
              <w:jc w:val="center"/>
              <w:rPr>
                <w:rFonts w:ascii="宋体" w:hAnsi="宋体" w:eastAsia="宋体"/>
              </w:rPr>
            </w:pPr>
            <w:r>
              <w:rPr>
                <w:rFonts w:ascii="宋体" w:hAnsi="宋体" w:eastAsia="宋体"/>
                <w:sz w:val="24"/>
              </w:rPr>
              <w:t>内容</w:t>
            </w:r>
          </w:p>
        </w:tc>
        <w:tc>
          <w:tcPr>
            <w:tcW w:w="426" w:type="dxa"/>
            <w:tcBorders>
              <w:top w:val="nil"/>
              <w:left w:val="single" w:color="000000" w:sz="4" w:space="0"/>
              <w:bottom w:val="single" w:color="000000" w:sz="4" w:space="0"/>
              <w:right w:val="single" w:color="000000" w:sz="4" w:space="0"/>
            </w:tcBorders>
          </w:tcPr>
          <w:p w14:paraId="365F9393">
            <w:pPr>
              <w:jc w:val="center"/>
              <w:rPr>
                <w:rFonts w:ascii="宋体" w:hAnsi="宋体" w:eastAsia="宋体"/>
              </w:rPr>
            </w:pPr>
            <w:r>
              <w:rPr>
                <w:rFonts w:ascii="宋体" w:hAnsi="宋体" w:eastAsia="宋体"/>
                <w:sz w:val="24"/>
              </w:rPr>
              <w:t>序号</w:t>
            </w:r>
          </w:p>
        </w:tc>
        <w:tc>
          <w:tcPr>
            <w:tcW w:w="3043" w:type="dxa"/>
            <w:tcBorders>
              <w:top w:val="single" w:color="000000" w:sz="4" w:space="0"/>
              <w:left w:val="single" w:color="000000" w:sz="4" w:space="0"/>
              <w:bottom w:val="single" w:color="000000" w:sz="4" w:space="0"/>
              <w:right w:val="single" w:color="000000" w:sz="4" w:space="0"/>
            </w:tcBorders>
          </w:tcPr>
          <w:p w14:paraId="76EA0402">
            <w:pPr>
              <w:jc w:val="center"/>
              <w:rPr>
                <w:rFonts w:ascii="宋体" w:hAnsi="宋体" w:eastAsia="宋体"/>
              </w:rPr>
            </w:pPr>
            <w:r>
              <w:rPr>
                <w:rFonts w:ascii="宋体" w:hAnsi="宋体" w:eastAsia="宋体"/>
                <w:sz w:val="24"/>
              </w:rPr>
              <w:t>标准内容</w:t>
            </w:r>
          </w:p>
        </w:tc>
        <w:tc>
          <w:tcPr>
            <w:tcW w:w="1351" w:type="dxa"/>
            <w:tcBorders>
              <w:top w:val="single" w:color="000000" w:sz="4" w:space="0"/>
              <w:left w:val="single" w:color="000000" w:sz="4" w:space="0"/>
              <w:bottom w:val="single" w:color="000000" w:sz="4" w:space="0"/>
              <w:right w:val="single" w:color="000000" w:sz="4" w:space="0"/>
            </w:tcBorders>
          </w:tcPr>
          <w:p w14:paraId="2B3B4642">
            <w:pPr>
              <w:jc w:val="center"/>
              <w:rPr>
                <w:rFonts w:ascii="宋体" w:hAnsi="宋体" w:eastAsia="宋体"/>
              </w:rPr>
            </w:pPr>
            <w:r>
              <w:rPr>
                <w:rFonts w:ascii="宋体" w:hAnsi="宋体" w:eastAsia="宋体"/>
                <w:sz w:val="24"/>
              </w:rPr>
              <w:t>项目</w:t>
            </w:r>
          </w:p>
        </w:tc>
        <w:tc>
          <w:tcPr>
            <w:tcW w:w="810" w:type="dxa"/>
            <w:tcBorders>
              <w:top w:val="single" w:color="000000" w:sz="4" w:space="0"/>
              <w:left w:val="single" w:color="000000" w:sz="4" w:space="0"/>
              <w:bottom w:val="single" w:color="000000" w:sz="4" w:space="0"/>
              <w:right w:val="single" w:color="000000" w:sz="4" w:space="0"/>
            </w:tcBorders>
          </w:tcPr>
          <w:p w14:paraId="72D02B2C">
            <w:pPr>
              <w:jc w:val="center"/>
              <w:rPr>
                <w:rFonts w:ascii="宋体" w:hAnsi="宋体" w:eastAsia="宋体"/>
              </w:rPr>
            </w:pPr>
            <w:r>
              <w:rPr>
                <w:rFonts w:ascii="宋体" w:hAnsi="宋体" w:eastAsia="宋体"/>
                <w:sz w:val="24"/>
              </w:rPr>
              <w:t>分数</w:t>
            </w:r>
          </w:p>
        </w:tc>
      </w:tr>
      <w:tr w14:paraId="7B0287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restart"/>
            <w:tcBorders>
              <w:top w:val="nil"/>
              <w:left w:val="single" w:color="000000" w:sz="4" w:space="0"/>
              <w:bottom w:val="single" w:color="000000" w:sz="4" w:space="0"/>
              <w:right w:val="single" w:color="000000" w:sz="4" w:space="0"/>
            </w:tcBorders>
          </w:tcPr>
          <w:p w14:paraId="0B494665">
            <w:pPr>
              <w:jc w:val="center"/>
              <w:rPr>
                <w:rFonts w:ascii="宋体" w:hAnsi="宋体" w:eastAsia="宋体"/>
              </w:rPr>
            </w:pPr>
            <w:r>
              <w:rPr>
                <w:rFonts w:ascii="宋体" w:hAnsi="宋体" w:eastAsia="宋体"/>
                <w:sz w:val="24"/>
              </w:rPr>
              <w:t>一</w:t>
            </w:r>
            <w:r>
              <w:rPr>
                <w:rFonts w:ascii="宋体" w:hAnsi="宋体" w:eastAsia="宋体"/>
              </w:rPr>
              <w:br w:type="textWrapping"/>
            </w:r>
            <w:r>
              <w:rPr>
                <w:rFonts w:ascii="宋体" w:hAnsi="宋体" w:eastAsia="宋体"/>
              </w:rPr>
              <w:br w:type="textWrapping"/>
            </w:r>
            <w:r>
              <w:rPr>
                <w:rFonts w:ascii="宋体" w:hAnsi="宋体" w:eastAsia="宋体"/>
                <w:sz w:val="24"/>
              </w:rPr>
              <w:t>日常管理监管</w:t>
            </w:r>
          </w:p>
          <w:p w14:paraId="6A8CD4D3">
            <w:pPr>
              <w:jc w:val="center"/>
              <w:rPr>
                <w:rFonts w:ascii="宋体" w:hAnsi="宋体" w:eastAsia="宋体"/>
              </w:rPr>
            </w:pPr>
            <w:r>
              <w:rPr>
                <w:rFonts w:ascii="宋体" w:hAnsi="宋体" w:eastAsia="宋体"/>
                <w:sz w:val="24"/>
              </w:rPr>
              <w:t>15分</w:t>
            </w:r>
          </w:p>
        </w:tc>
        <w:tc>
          <w:tcPr>
            <w:tcW w:w="369" w:type="dxa"/>
            <w:vMerge w:val="restart"/>
            <w:tcBorders>
              <w:top w:val="nil"/>
              <w:left w:val="single" w:color="000000" w:sz="4" w:space="0"/>
              <w:bottom w:val="single" w:color="000000" w:sz="4" w:space="0"/>
              <w:right w:val="single" w:color="000000" w:sz="4" w:space="0"/>
            </w:tcBorders>
          </w:tcPr>
          <w:p w14:paraId="1810E759">
            <w:pPr>
              <w:jc w:val="center"/>
              <w:rPr>
                <w:rFonts w:ascii="宋体" w:hAnsi="宋体" w:eastAsia="宋体"/>
              </w:rPr>
            </w:pPr>
            <w:r>
              <w:rPr>
                <w:rFonts w:ascii="宋体" w:hAnsi="宋体" w:eastAsia="宋体"/>
                <w:sz w:val="24"/>
              </w:rPr>
              <w:t>1</w:t>
            </w:r>
          </w:p>
        </w:tc>
        <w:tc>
          <w:tcPr>
            <w:tcW w:w="1422" w:type="dxa"/>
            <w:vMerge w:val="restart"/>
            <w:tcBorders>
              <w:top w:val="nil"/>
              <w:left w:val="single" w:color="000000" w:sz="4" w:space="0"/>
              <w:bottom w:val="single" w:color="000000" w:sz="4" w:space="0"/>
              <w:right w:val="single" w:color="000000" w:sz="4" w:space="0"/>
            </w:tcBorders>
          </w:tcPr>
          <w:p w14:paraId="45D9EA10">
            <w:pPr>
              <w:jc w:val="center"/>
              <w:rPr>
                <w:rFonts w:ascii="宋体" w:hAnsi="宋体" w:eastAsia="宋体"/>
              </w:rPr>
            </w:pPr>
            <w:r>
              <w:rPr>
                <w:rFonts w:ascii="宋体" w:hAnsi="宋体" w:eastAsia="宋体"/>
                <w:sz w:val="24"/>
              </w:rPr>
              <w:t>飞灰转运、填埋及填埋作业后维护的管理和技术指导</w:t>
            </w:r>
          </w:p>
        </w:tc>
        <w:tc>
          <w:tcPr>
            <w:tcW w:w="426" w:type="dxa"/>
            <w:tcBorders>
              <w:top w:val="nil"/>
              <w:left w:val="single" w:color="000000" w:sz="4" w:space="0"/>
              <w:bottom w:val="single" w:color="000000" w:sz="4" w:space="0"/>
              <w:right w:val="single" w:color="000000" w:sz="4" w:space="0"/>
            </w:tcBorders>
          </w:tcPr>
          <w:p w14:paraId="675EB105">
            <w:pPr>
              <w:jc w:val="center"/>
              <w:rPr>
                <w:rFonts w:ascii="宋体" w:hAnsi="宋体" w:eastAsia="宋体"/>
              </w:rPr>
            </w:pPr>
            <w:r>
              <w:rPr>
                <w:rFonts w:ascii="宋体" w:hAnsi="宋体" w:eastAsia="宋体"/>
                <w:sz w:val="24"/>
              </w:rPr>
              <w:t>1</w:t>
            </w:r>
          </w:p>
        </w:tc>
        <w:tc>
          <w:tcPr>
            <w:tcW w:w="3043" w:type="dxa"/>
            <w:tcBorders>
              <w:top w:val="nil"/>
              <w:left w:val="single" w:color="000000" w:sz="4" w:space="0"/>
              <w:bottom w:val="single" w:color="000000" w:sz="4" w:space="0"/>
              <w:right w:val="single" w:color="000000" w:sz="4" w:space="0"/>
            </w:tcBorders>
          </w:tcPr>
          <w:p w14:paraId="76503ED9">
            <w:pPr>
              <w:jc w:val="center"/>
              <w:rPr>
                <w:rFonts w:ascii="宋体" w:hAnsi="宋体" w:eastAsia="宋体"/>
              </w:rPr>
            </w:pPr>
            <w:r>
              <w:rPr>
                <w:rFonts w:ascii="宋体" w:hAnsi="宋体" w:eastAsia="宋体"/>
                <w:sz w:val="24"/>
              </w:rPr>
              <w:t>按照国家相关法律法规及生态环境部门批复的环境检测要求（以生态环境部门最新要求为准）</w:t>
            </w:r>
            <w:r>
              <w:rPr>
                <w:rFonts w:hint="eastAsia" w:ascii="宋体" w:hAnsi="宋体" w:eastAsia="宋体"/>
                <w:sz w:val="24"/>
              </w:rPr>
              <w:t>附营运期环境监测计划表执行</w:t>
            </w:r>
          </w:p>
        </w:tc>
        <w:tc>
          <w:tcPr>
            <w:tcW w:w="1351" w:type="dxa"/>
            <w:tcBorders>
              <w:top w:val="nil"/>
              <w:left w:val="single" w:color="000000" w:sz="4" w:space="0"/>
              <w:bottom w:val="single" w:color="000000" w:sz="4" w:space="0"/>
              <w:right w:val="single" w:color="000000" w:sz="4" w:space="0"/>
            </w:tcBorders>
          </w:tcPr>
          <w:p w14:paraId="648EEDC7">
            <w:pPr>
              <w:jc w:val="center"/>
              <w:rPr>
                <w:rFonts w:ascii="宋体" w:hAnsi="宋体" w:eastAsia="宋体"/>
              </w:rPr>
            </w:pPr>
            <w:r>
              <w:rPr>
                <w:rFonts w:ascii="宋体" w:hAnsi="宋体" w:eastAsia="宋体"/>
                <w:sz w:val="24"/>
              </w:rPr>
              <w:t>未做好自检化验、报告报送工作和形成台账</w:t>
            </w:r>
          </w:p>
        </w:tc>
        <w:tc>
          <w:tcPr>
            <w:tcW w:w="810" w:type="dxa"/>
            <w:tcBorders>
              <w:top w:val="nil"/>
              <w:left w:val="single" w:color="000000" w:sz="4" w:space="0"/>
              <w:bottom w:val="single" w:color="000000" w:sz="4" w:space="0"/>
              <w:right w:val="single" w:color="000000" w:sz="4" w:space="0"/>
            </w:tcBorders>
          </w:tcPr>
          <w:p w14:paraId="75F7D6A1">
            <w:pPr>
              <w:jc w:val="center"/>
              <w:rPr>
                <w:rFonts w:ascii="宋体" w:hAnsi="宋体" w:eastAsia="宋体"/>
              </w:rPr>
            </w:pPr>
            <w:r>
              <w:rPr>
                <w:rFonts w:ascii="宋体" w:hAnsi="宋体" w:eastAsia="宋体"/>
                <w:sz w:val="24"/>
              </w:rPr>
              <w:t>每次</w:t>
            </w:r>
          </w:p>
          <w:p w14:paraId="71E0A987">
            <w:pPr>
              <w:jc w:val="center"/>
              <w:rPr>
                <w:rFonts w:ascii="宋体" w:hAnsi="宋体" w:eastAsia="宋体"/>
              </w:rPr>
            </w:pPr>
            <w:r>
              <w:rPr>
                <w:rFonts w:ascii="宋体" w:hAnsi="宋体" w:eastAsia="宋体"/>
                <w:sz w:val="24"/>
              </w:rPr>
              <w:t>扣1分</w:t>
            </w:r>
          </w:p>
        </w:tc>
      </w:tr>
      <w:tr w14:paraId="20DDD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B9CD324">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24D19EA5">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135CCD78">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1D641AD5">
            <w:pPr>
              <w:jc w:val="center"/>
              <w:rPr>
                <w:rFonts w:ascii="宋体" w:hAnsi="宋体" w:eastAsia="宋体"/>
              </w:rPr>
            </w:pPr>
            <w:r>
              <w:rPr>
                <w:rFonts w:ascii="宋体" w:hAnsi="宋体" w:eastAsia="宋体"/>
                <w:sz w:val="24"/>
              </w:rPr>
              <w:t>2</w:t>
            </w:r>
          </w:p>
        </w:tc>
        <w:tc>
          <w:tcPr>
            <w:tcW w:w="3043" w:type="dxa"/>
            <w:tcBorders>
              <w:top w:val="nil"/>
              <w:left w:val="single" w:color="000000" w:sz="4" w:space="0"/>
              <w:bottom w:val="single" w:color="000000" w:sz="4" w:space="0"/>
              <w:right w:val="single" w:color="000000" w:sz="4" w:space="0"/>
            </w:tcBorders>
          </w:tcPr>
          <w:p w14:paraId="135CAD77">
            <w:pPr>
              <w:jc w:val="center"/>
              <w:rPr>
                <w:rFonts w:ascii="宋体" w:hAnsi="宋体" w:eastAsia="宋体"/>
              </w:rPr>
            </w:pPr>
            <w:r>
              <w:rPr>
                <w:rFonts w:ascii="宋体" w:hAnsi="宋体" w:eastAsia="宋体"/>
                <w:sz w:val="24"/>
              </w:rPr>
              <w:t>填埋区入场道路及作业平台准备：入场道路及作业平台修缮，保证入场道路、平台满足作业的要求，保证飞灰转运效率。</w:t>
            </w:r>
          </w:p>
        </w:tc>
        <w:tc>
          <w:tcPr>
            <w:tcW w:w="1351" w:type="dxa"/>
            <w:tcBorders>
              <w:top w:val="nil"/>
              <w:left w:val="single" w:color="000000" w:sz="4" w:space="0"/>
              <w:bottom w:val="single" w:color="000000" w:sz="4" w:space="0"/>
              <w:right w:val="single" w:color="000000" w:sz="4" w:space="0"/>
            </w:tcBorders>
          </w:tcPr>
          <w:p w14:paraId="4DF81126">
            <w:pPr>
              <w:jc w:val="center"/>
              <w:rPr>
                <w:rFonts w:ascii="宋体" w:hAnsi="宋体" w:eastAsia="宋体"/>
              </w:rPr>
            </w:pPr>
            <w:r>
              <w:rPr>
                <w:rFonts w:ascii="宋体" w:hAnsi="宋体" w:eastAsia="宋体"/>
                <w:sz w:val="24"/>
              </w:rPr>
              <w:t>未及时准备，影响飞灰转运</w:t>
            </w:r>
          </w:p>
        </w:tc>
        <w:tc>
          <w:tcPr>
            <w:tcW w:w="810" w:type="dxa"/>
            <w:tcBorders>
              <w:top w:val="nil"/>
              <w:left w:val="single" w:color="000000" w:sz="4" w:space="0"/>
              <w:bottom w:val="single" w:color="000000" w:sz="4" w:space="0"/>
              <w:right w:val="single" w:color="000000" w:sz="4" w:space="0"/>
            </w:tcBorders>
          </w:tcPr>
          <w:p w14:paraId="69C094F4">
            <w:pPr>
              <w:jc w:val="center"/>
              <w:rPr>
                <w:rFonts w:ascii="宋体" w:hAnsi="宋体" w:eastAsia="宋体"/>
              </w:rPr>
            </w:pPr>
            <w:r>
              <w:rPr>
                <w:rFonts w:ascii="宋体" w:hAnsi="宋体" w:eastAsia="宋体"/>
                <w:sz w:val="24"/>
              </w:rPr>
              <w:t>每天</w:t>
            </w:r>
          </w:p>
          <w:p w14:paraId="10C60B5D">
            <w:pPr>
              <w:jc w:val="center"/>
              <w:rPr>
                <w:rFonts w:ascii="宋体" w:hAnsi="宋体" w:eastAsia="宋体"/>
              </w:rPr>
            </w:pPr>
            <w:r>
              <w:rPr>
                <w:rFonts w:ascii="宋体" w:hAnsi="宋体" w:eastAsia="宋体"/>
                <w:sz w:val="24"/>
              </w:rPr>
              <w:t>扣1分</w:t>
            </w:r>
          </w:p>
        </w:tc>
      </w:tr>
      <w:tr w14:paraId="3026FC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42C88022">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35DF8C2D">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5FD4669D">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16B34E69">
            <w:pPr>
              <w:jc w:val="center"/>
              <w:rPr>
                <w:rFonts w:ascii="宋体" w:hAnsi="宋体" w:eastAsia="宋体"/>
              </w:rPr>
            </w:pPr>
            <w:r>
              <w:rPr>
                <w:rFonts w:ascii="宋体" w:hAnsi="宋体" w:eastAsia="宋体"/>
                <w:sz w:val="24"/>
              </w:rPr>
              <w:t>3</w:t>
            </w:r>
          </w:p>
        </w:tc>
        <w:tc>
          <w:tcPr>
            <w:tcW w:w="3043" w:type="dxa"/>
            <w:tcBorders>
              <w:top w:val="nil"/>
              <w:left w:val="single" w:color="000000" w:sz="4" w:space="0"/>
              <w:bottom w:val="single" w:color="000000" w:sz="4" w:space="0"/>
              <w:right w:val="single" w:color="000000" w:sz="4" w:space="0"/>
            </w:tcBorders>
          </w:tcPr>
          <w:p w14:paraId="7287B113">
            <w:pPr>
              <w:jc w:val="center"/>
              <w:rPr>
                <w:rFonts w:ascii="宋体" w:hAnsi="宋体" w:eastAsia="宋体"/>
              </w:rPr>
            </w:pPr>
            <w:r>
              <w:rPr>
                <w:rFonts w:ascii="宋体" w:hAnsi="宋体" w:eastAsia="宋体"/>
                <w:sz w:val="24"/>
              </w:rPr>
              <w:t>雨水天气，每日检查雨污分流情况，并及时启动水泵、抽走积存雨水和抽排渗滤液；如有台风暴雨天气，提前做好预防台风暴雨的措施。台风暴雨过后立即检查覆膜情况，有破损的及时修复，将坝底雨水排尽。</w:t>
            </w:r>
          </w:p>
        </w:tc>
        <w:tc>
          <w:tcPr>
            <w:tcW w:w="1351" w:type="dxa"/>
            <w:tcBorders>
              <w:top w:val="nil"/>
              <w:left w:val="single" w:color="000000" w:sz="4" w:space="0"/>
              <w:bottom w:val="single" w:color="000000" w:sz="4" w:space="0"/>
              <w:right w:val="single" w:color="000000" w:sz="4" w:space="0"/>
            </w:tcBorders>
          </w:tcPr>
          <w:p w14:paraId="66C91039">
            <w:pPr>
              <w:jc w:val="center"/>
              <w:rPr>
                <w:rFonts w:ascii="宋体" w:hAnsi="宋体" w:eastAsia="宋体"/>
              </w:rPr>
            </w:pPr>
            <w:r>
              <w:rPr>
                <w:rFonts w:ascii="宋体" w:hAnsi="宋体" w:eastAsia="宋体"/>
                <w:sz w:val="24"/>
              </w:rPr>
              <w:t>降雨时未进行巡查、及时抽排</w:t>
            </w:r>
          </w:p>
        </w:tc>
        <w:tc>
          <w:tcPr>
            <w:tcW w:w="810" w:type="dxa"/>
            <w:tcBorders>
              <w:top w:val="nil"/>
              <w:left w:val="single" w:color="000000" w:sz="4" w:space="0"/>
              <w:bottom w:val="single" w:color="000000" w:sz="4" w:space="0"/>
              <w:right w:val="single" w:color="000000" w:sz="4" w:space="0"/>
            </w:tcBorders>
          </w:tcPr>
          <w:p w14:paraId="3C7AC64C">
            <w:pPr>
              <w:jc w:val="center"/>
              <w:rPr>
                <w:rFonts w:ascii="宋体" w:hAnsi="宋体" w:eastAsia="宋体"/>
              </w:rPr>
            </w:pPr>
            <w:r>
              <w:rPr>
                <w:rFonts w:ascii="宋体" w:hAnsi="宋体" w:eastAsia="宋体"/>
                <w:sz w:val="24"/>
              </w:rPr>
              <w:t>每次</w:t>
            </w:r>
          </w:p>
          <w:p w14:paraId="4389373B">
            <w:pPr>
              <w:jc w:val="center"/>
              <w:rPr>
                <w:rFonts w:ascii="宋体" w:hAnsi="宋体" w:eastAsia="宋体"/>
              </w:rPr>
            </w:pPr>
            <w:r>
              <w:rPr>
                <w:rFonts w:ascii="宋体" w:hAnsi="宋体" w:eastAsia="宋体"/>
                <w:sz w:val="24"/>
              </w:rPr>
              <w:t>扣3分</w:t>
            </w:r>
          </w:p>
        </w:tc>
      </w:tr>
      <w:tr w14:paraId="15ED6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22DCD63C">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C53743D">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2F069755">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4B5CA1B2">
            <w:pPr>
              <w:jc w:val="center"/>
              <w:rPr>
                <w:rFonts w:ascii="宋体" w:hAnsi="宋体" w:eastAsia="宋体"/>
              </w:rPr>
            </w:pPr>
            <w:r>
              <w:rPr>
                <w:rFonts w:ascii="宋体" w:hAnsi="宋体" w:eastAsia="宋体"/>
                <w:sz w:val="24"/>
              </w:rPr>
              <w:t>4</w:t>
            </w:r>
          </w:p>
        </w:tc>
        <w:tc>
          <w:tcPr>
            <w:tcW w:w="3043" w:type="dxa"/>
            <w:tcBorders>
              <w:top w:val="nil"/>
              <w:left w:val="single" w:color="000000" w:sz="4" w:space="0"/>
              <w:bottom w:val="single" w:color="000000" w:sz="4" w:space="0"/>
              <w:right w:val="single" w:color="000000" w:sz="4" w:space="0"/>
            </w:tcBorders>
          </w:tcPr>
          <w:p w14:paraId="286DA2FF">
            <w:pPr>
              <w:jc w:val="center"/>
              <w:rPr>
                <w:rFonts w:ascii="宋体" w:hAnsi="宋体" w:eastAsia="宋体"/>
              </w:rPr>
            </w:pPr>
            <w:r>
              <w:rPr>
                <w:rFonts w:ascii="宋体" w:hAnsi="宋体" w:eastAsia="宋体"/>
                <w:sz w:val="24"/>
              </w:rPr>
              <w:t>飞灰处置过程应具备防扬散、防流失、防渗漏的措施</w:t>
            </w:r>
          </w:p>
        </w:tc>
        <w:tc>
          <w:tcPr>
            <w:tcW w:w="1351" w:type="dxa"/>
            <w:tcBorders>
              <w:top w:val="nil"/>
              <w:left w:val="single" w:color="000000" w:sz="4" w:space="0"/>
              <w:bottom w:val="single" w:color="000000" w:sz="4" w:space="0"/>
              <w:right w:val="single" w:color="000000" w:sz="4" w:space="0"/>
            </w:tcBorders>
          </w:tcPr>
          <w:p w14:paraId="421AEE6A">
            <w:pPr>
              <w:jc w:val="center"/>
              <w:rPr>
                <w:rFonts w:ascii="宋体" w:hAnsi="宋体" w:eastAsia="宋体"/>
              </w:rPr>
            </w:pPr>
            <w:r>
              <w:rPr>
                <w:rFonts w:ascii="宋体" w:hAnsi="宋体" w:eastAsia="宋体"/>
                <w:sz w:val="24"/>
              </w:rPr>
              <w:t>未做好三防措施</w:t>
            </w:r>
          </w:p>
        </w:tc>
        <w:tc>
          <w:tcPr>
            <w:tcW w:w="810" w:type="dxa"/>
            <w:tcBorders>
              <w:top w:val="nil"/>
              <w:left w:val="single" w:color="000000" w:sz="4" w:space="0"/>
              <w:bottom w:val="single" w:color="000000" w:sz="4" w:space="0"/>
              <w:right w:val="single" w:color="000000" w:sz="4" w:space="0"/>
            </w:tcBorders>
          </w:tcPr>
          <w:p w14:paraId="2738BD50">
            <w:pPr>
              <w:jc w:val="center"/>
              <w:rPr>
                <w:rFonts w:ascii="宋体" w:hAnsi="宋体" w:eastAsia="宋体"/>
              </w:rPr>
            </w:pPr>
            <w:r>
              <w:rPr>
                <w:rFonts w:ascii="宋体" w:hAnsi="宋体" w:eastAsia="宋体"/>
                <w:sz w:val="24"/>
              </w:rPr>
              <w:t>每次</w:t>
            </w:r>
          </w:p>
          <w:p w14:paraId="13D410F3">
            <w:pPr>
              <w:jc w:val="center"/>
              <w:rPr>
                <w:rFonts w:ascii="宋体" w:hAnsi="宋体" w:eastAsia="宋体"/>
              </w:rPr>
            </w:pPr>
            <w:r>
              <w:rPr>
                <w:rFonts w:ascii="宋体" w:hAnsi="宋体" w:eastAsia="宋体"/>
                <w:sz w:val="24"/>
              </w:rPr>
              <w:t>扣0.5分</w:t>
            </w:r>
          </w:p>
        </w:tc>
      </w:tr>
      <w:tr w14:paraId="631C5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9C824DF">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30436EC3">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2FD13F7F">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65DAC26F">
            <w:pPr>
              <w:jc w:val="center"/>
              <w:rPr>
                <w:rFonts w:ascii="宋体" w:hAnsi="宋体" w:eastAsia="宋体"/>
              </w:rPr>
            </w:pPr>
            <w:r>
              <w:rPr>
                <w:rFonts w:ascii="宋体" w:hAnsi="宋体" w:eastAsia="宋体"/>
                <w:sz w:val="24"/>
              </w:rPr>
              <w:t>5</w:t>
            </w:r>
          </w:p>
        </w:tc>
        <w:tc>
          <w:tcPr>
            <w:tcW w:w="3043" w:type="dxa"/>
            <w:tcBorders>
              <w:top w:val="nil"/>
              <w:left w:val="single" w:color="000000" w:sz="4" w:space="0"/>
              <w:bottom w:val="single" w:color="000000" w:sz="4" w:space="0"/>
              <w:right w:val="single" w:color="000000" w:sz="4" w:space="0"/>
            </w:tcBorders>
          </w:tcPr>
          <w:p w14:paraId="6585F28F">
            <w:pPr>
              <w:jc w:val="center"/>
              <w:rPr>
                <w:rFonts w:ascii="宋体" w:hAnsi="宋体" w:eastAsia="宋体"/>
              </w:rPr>
            </w:pPr>
            <w:r>
              <w:rPr>
                <w:rFonts w:ascii="宋体" w:hAnsi="宋体" w:eastAsia="宋体"/>
                <w:sz w:val="24"/>
              </w:rPr>
              <w:t>填埋作业完成后维护</w:t>
            </w:r>
          </w:p>
        </w:tc>
        <w:tc>
          <w:tcPr>
            <w:tcW w:w="1351" w:type="dxa"/>
            <w:tcBorders>
              <w:top w:val="nil"/>
              <w:left w:val="single" w:color="000000" w:sz="4" w:space="0"/>
              <w:bottom w:val="single" w:color="000000" w:sz="4" w:space="0"/>
              <w:right w:val="single" w:color="000000" w:sz="4" w:space="0"/>
            </w:tcBorders>
          </w:tcPr>
          <w:p w14:paraId="64988089">
            <w:pPr>
              <w:jc w:val="center"/>
              <w:rPr>
                <w:rFonts w:ascii="宋体" w:hAnsi="宋体" w:eastAsia="宋体"/>
              </w:rPr>
            </w:pPr>
            <w:r>
              <w:rPr>
                <w:rFonts w:ascii="宋体" w:hAnsi="宋体" w:eastAsia="宋体"/>
                <w:sz w:val="24"/>
              </w:rPr>
              <w:t>未及时覆盖</w:t>
            </w:r>
          </w:p>
        </w:tc>
        <w:tc>
          <w:tcPr>
            <w:tcW w:w="810" w:type="dxa"/>
            <w:tcBorders>
              <w:top w:val="nil"/>
              <w:left w:val="single" w:color="000000" w:sz="4" w:space="0"/>
              <w:bottom w:val="single" w:color="000000" w:sz="4" w:space="0"/>
              <w:right w:val="single" w:color="000000" w:sz="4" w:space="0"/>
            </w:tcBorders>
          </w:tcPr>
          <w:p w14:paraId="601B19D2">
            <w:pPr>
              <w:jc w:val="center"/>
              <w:rPr>
                <w:rFonts w:ascii="宋体" w:hAnsi="宋体" w:eastAsia="宋体"/>
              </w:rPr>
            </w:pPr>
            <w:r>
              <w:rPr>
                <w:rFonts w:ascii="宋体" w:hAnsi="宋体" w:eastAsia="宋体"/>
                <w:sz w:val="24"/>
              </w:rPr>
              <w:t>每天</w:t>
            </w:r>
          </w:p>
          <w:p w14:paraId="19392CE4">
            <w:pPr>
              <w:jc w:val="center"/>
              <w:rPr>
                <w:rFonts w:ascii="宋体" w:hAnsi="宋体" w:eastAsia="宋体"/>
              </w:rPr>
            </w:pPr>
            <w:r>
              <w:rPr>
                <w:rFonts w:ascii="宋体" w:hAnsi="宋体" w:eastAsia="宋体"/>
                <w:sz w:val="24"/>
              </w:rPr>
              <w:t>扣1分</w:t>
            </w:r>
          </w:p>
        </w:tc>
      </w:tr>
      <w:tr w14:paraId="5060D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restart"/>
            <w:tcBorders>
              <w:top w:val="nil"/>
              <w:left w:val="single" w:color="000000" w:sz="4" w:space="0"/>
              <w:bottom w:val="single" w:color="000000" w:sz="4" w:space="0"/>
              <w:right w:val="single" w:color="000000" w:sz="4" w:space="0"/>
            </w:tcBorders>
          </w:tcPr>
          <w:p w14:paraId="48AE6820">
            <w:pPr>
              <w:jc w:val="center"/>
              <w:rPr>
                <w:rFonts w:ascii="宋体" w:hAnsi="宋体" w:eastAsia="宋体"/>
              </w:rPr>
            </w:pPr>
          </w:p>
          <w:p w14:paraId="5CE2CC21">
            <w:pPr>
              <w:jc w:val="center"/>
              <w:rPr>
                <w:rFonts w:ascii="宋体" w:hAnsi="宋体" w:eastAsia="宋体"/>
              </w:rPr>
            </w:pPr>
          </w:p>
          <w:p w14:paraId="1140C00A">
            <w:pPr>
              <w:jc w:val="center"/>
              <w:rPr>
                <w:rFonts w:ascii="宋体" w:hAnsi="宋体" w:eastAsia="宋体"/>
              </w:rPr>
            </w:pPr>
          </w:p>
          <w:p w14:paraId="63BDB868">
            <w:pPr>
              <w:jc w:val="center"/>
              <w:rPr>
                <w:rFonts w:ascii="宋体" w:hAnsi="宋体" w:eastAsia="宋体"/>
              </w:rPr>
            </w:pPr>
          </w:p>
          <w:p w14:paraId="4F065629">
            <w:pPr>
              <w:jc w:val="center"/>
              <w:rPr>
                <w:rFonts w:ascii="宋体" w:hAnsi="宋体" w:eastAsia="宋体"/>
              </w:rPr>
            </w:pPr>
          </w:p>
          <w:p w14:paraId="150B4CF3">
            <w:pPr>
              <w:jc w:val="center"/>
              <w:rPr>
                <w:rFonts w:ascii="宋体" w:hAnsi="宋体" w:eastAsia="宋体"/>
              </w:rPr>
            </w:pPr>
            <w:r>
              <w:rPr>
                <w:rFonts w:ascii="宋体" w:hAnsi="宋体" w:eastAsia="宋体"/>
                <w:sz w:val="24"/>
              </w:rPr>
              <w:t>二</w:t>
            </w:r>
            <w:r>
              <w:rPr>
                <w:rFonts w:ascii="宋体" w:hAnsi="宋体" w:eastAsia="宋体"/>
              </w:rPr>
              <w:br w:type="textWrapping"/>
            </w:r>
            <w:r>
              <w:rPr>
                <w:rFonts w:ascii="宋体" w:hAnsi="宋体" w:eastAsia="宋体"/>
              </w:rPr>
              <w:br w:type="textWrapping"/>
            </w:r>
            <w:r>
              <w:rPr>
                <w:rFonts w:ascii="宋体" w:hAnsi="宋体" w:eastAsia="宋体"/>
                <w:sz w:val="24"/>
              </w:rPr>
              <w:t>计划工作监管</w:t>
            </w:r>
            <w:r>
              <w:rPr>
                <w:rFonts w:ascii="宋体" w:hAnsi="宋体" w:eastAsia="宋体"/>
              </w:rPr>
              <w:br w:type="textWrapping"/>
            </w:r>
            <w:r>
              <w:rPr>
                <w:rFonts w:ascii="宋体" w:hAnsi="宋体" w:eastAsia="宋体"/>
              </w:rPr>
              <w:br w:type="textWrapping"/>
            </w:r>
            <w:r>
              <w:rPr>
                <w:rFonts w:ascii="宋体" w:hAnsi="宋体" w:eastAsia="宋体"/>
                <w:sz w:val="24"/>
              </w:rPr>
              <w:t>15分</w:t>
            </w:r>
          </w:p>
        </w:tc>
        <w:tc>
          <w:tcPr>
            <w:tcW w:w="369" w:type="dxa"/>
            <w:vMerge w:val="restart"/>
            <w:tcBorders>
              <w:top w:val="nil"/>
              <w:left w:val="single" w:color="000000" w:sz="4" w:space="0"/>
              <w:bottom w:val="single" w:color="000000" w:sz="4" w:space="0"/>
              <w:right w:val="single" w:color="000000" w:sz="4" w:space="0"/>
            </w:tcBorders>
          </w:tcPr>
          <w:p w14:paraId="261EBACD">
            <w:pPr>
              <w:jc w:val="center"/>
              <w:rPr>
                <w:rFonts w:ascii="宋体" w:hAnsi="宋体" w:eastAsia="宋体"/>
              </w:rPr>
            </w:pPr>
            <w:r>
              <w:rPr>
                <w:rFonts w:ascii="宋体" w:hAnsi="宋体" w:eastAsia="宋体"/>
                <w:sz w:val="24"/>
              </w:rPr>
              <w:t>2</w:t>
            </w:r>
          </w:p>
        </w:tc>
        <w:tc>
          <w:tcPr>
            <w:tcW w:w="1422" w:type="dxa"/>
            <w:vMerge w:val="restart"/>
            <w:tcBorders>
              <w:top w:val="nil"/>
              <w:left w:val="single" w:color="000000" w:sz="4" w:space="0"/>
              <w:bottom w:val="single" w:color="000000" w:sz="4" w:space="0"/>
              <w:right w:val="single" w:color="000000" w:sz="4" w:space="0"/>
            </w:tcBorders>
          </w:tcPr>
          <w:p w14:paraId="68E698BF">
            <w:pPr>
              <w:jc w:val="center"/>
              <w:rPr>
                <w:rFonts w:ascii="宋体" w:hAnsi="宋体" w:eastAsia="宋体"/>
              </w:rPr>
            </w:pPr>
            <w:r>
              <w:rPr>
                <w:rFonts w:ascii="宋体" w:hAnsi="宋体" w:eastAsia="宋体"/>
                <w:sz w:val="24"/>
              </w:rPr>
              <w:t>环保定期检测计划</w:t>
            </w:r>
          </w:p>
        </w:tc>
        <w:tc>
          <w:tcPr>
            <w:tcW w:w="426" w:type="dxa"/>
            <w:tcBorders>
              <w:top w:val="nil"/>
              <w:left w:val="single" w:color="000000" w:sz="4" w:space="0"/>
              <w:bottom w:val="single" w:color="000000" w:sz="4" w:space="0"/>
              <w:right w:val="single" w:color="000000" w:sz="4" w:space="0"/>
            </w:tcBorders>
          </w:tcPr>
          <w:p w14:paraId="6E973519">
            <w:pPr>
              <w:jc w:val="center"/>
              <w:rPr>
                <w:rFonts w:ascii="宋体" w:hAnsi="宋体" w:eastAsia="宋体"/>
              </w:rPr>
            </w:pPr>
            <w:r>
              <w:rPr>
                <w:rFonts w:ascii="宋体" w:hAnsi="宋体" w:eastAsia="宋体"/>
                <w:sz w:val="24"/>
              </w:rPr>
              <w:t>6</w:t>
            </w:r>
          </w:p>
        </w:tc>
        <w:tc>
          <w:tcPr>
            <w:tcW w:w="3043" w:type="dxa"/>
            <w:tcBorders>
              <w:top w:val="nil"/>
              <w:left w:val="single" w:color="000000" w:sz="4" w:space="0"/>
              <w:bottom w:val="single" w:color="000000" w:sz="4" w:space="0"/>
              <w:right w:val="single" w:color="000000" w:sz="4" w:space="0"/>
            </w:tcBorders>
          </w:tcPr>
          <w:p w14:paraId="327B1644">
            <w:pPr>
              <w:jc w:val="center"/>
              <w:rPr>
                <w:rFonts w:ascii="宋体" w:hAnsi="宋体" w:eastAsia="宋体"/>
              </w:rPr>
            </w:pPr>
            <w:r>
              <w:rPr>
                <w:rFonts w:ascii="宋体" w:hAnsi="宋体" w:eastAsia="宋体"/>
                <w:sz w:val="24"/>
              </w:rPr>
              <w:t>制定和执行环境管理计划和监测计划，建立健全环保相关工作规章制度</w:t>
            </w:r>
          </w:p>
        </w:tc>
        <w:tc>
          <w:tcPr>
            <w:tcW w:w="1351" w:type="dxa"/>
            <w:tcBorders>
              <w:top w:val="nil"/>
              <w:left w:val="single" w:color="000000" w:sz="4" w:space="0"/>
              <w:bottom w:val="single" w:color="000000" w:sz="4" w:space="0"/>
              <w:right w:val="single" w:color="000000" w:sz="4" w:space="0"/>
            </w:tcBorders>
          </w:tcPr>
          <w:p w14:paraId="30C4EEC8">
            <w:pPr>
              <w:jc w:val="center"/>
              <w:rPr>
                <w:rFonts w:ascii="宋体" w:hAnsi="宋体" w:eastAsia="宋体"/>
              </w:rPr>
            </w:pPr>
            <w:r>
              <w:rPr>
                <w:rFonts w:ascii="宋体" w:hAnsi="宋体" w:eastAsia="宋体"/>
                <w:sz w:val="24"/>
              </w:rPr>
              <w:t>无相关规章制度和工作计划</w:t>
            </w:r>
          </w:p>
        </w:tc>
        <w:tc>
          <w:tcPr>
            <w:tcW w:w="810" w:type="dxa"/>
            <w:tcBorders>
              <w:top w:val="nil"/>
              <w:left w:val="single" w:color="000000" w:sz="4" w:space="0"/>
              <w:bottom w:val="single" w:color="000000" w:sz="4" w:space="0"/>
              <w:right w:val="single" w:color="000000" w:sz="4" w:space="0"/>
            </w:tcBorders>
          </w:tcPr>
          <w:p w14:paraId="0D61EFCE">
            <w:pPr>
              <w:jc w:val="center"/>
              <w:rPr>
                <w:rFonts w:ascii="宋体" w:hAnsi="宋体" w:eastAsia="宋体"/>
              </w:rPr>
            </w:pPr>
            <w:r>
              <w:rPr>
                <w:rFonts w:ascii="宋体" w:hAnsi="宋体" w:eastAsia="宋体"/>
                <w:sz w:val="24"/>
              </w:rPr>
              <w:t>每项</w:t>
            </w:r>
          </w:p>
          <w:p w14:paraId="554312B7">
            <w:pPr>
              <w:jc w:val="center"/>
              <w:rPr>
                <w:rFonts w:ascii="宋体" w:hAnsi="宋体" w:eastAsia="宋体"/>
              </w:rPr>
            </w:pPr>
            <w:r>
              <w:rPr>
                <w:rFonts w:ascii="宋体" w:hAnsi="宋体" w:eastAsia="宋体"/>
                <w:sz w:val="24"/>
              </w:rPr>
              <w:t>扣1分</w:t>
            </w:r>
          </w:p>
        </w:tc>
      </w:tr>
      <w:tr w14:paraId="716B3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53" w:type="dxa"/>
            <w:vMerge w:val="continue"/>
            <w:tcBorders>
              <w:top w:val="nil"/>
              <w:left w:val="single" w:color="000000" w:sz="4" w:space="0"/>
              <w:bottom w:val="single" w:color="000000" w:sz="4" w:space="0"/>
              <w:right w:val="single" w:color="000000" w:sz="4" w:space="0"/>
            </w:tcBorders>
          </w:tcPr>
          <w:p w14:paraId="4897B723">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7BDD8A13">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6D1DB40C">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22AD389A">
            <w:pPr>
              <w:jc w:val="center"/>
              <w:rPr>
                <w:rFonts w:ascii="宋体" w:hAnsi="宋体" w:eastAsia="宋体"/>
              </w:rPr>
            </w:pPr>
            <w:r>
              <w:rPr>
                <w:rFonts w:ascii="宋体" w:hAnsi="宋体" w:eastAsia="宋体"/>
                <w:sz w:val="24"/>
              </w:rPr>
              <w:t>7</w:t>
            </w:r>
          </w:p>
        </w:tc>
        <w:tc>
          <w:tcPr>
            <w:tcW w:w="3043" w:type="dxa"/>
            <w:tcBorders>
              <w:top w:val="nil"/>
              <w:left w:val="single" w:color="000000" w:sz="4" w:space="0"/>
              <w:bottom w:val="single" w:color="000000" w:sz="4" w:space="0"/>
              <w:right w:val="single" w:color="000000" w:sz="4" w:space="0"/>
            </w:tcBorders>
          </w:tcPr>
          <w:p w14:paraId="395441C5">
            <w:pPr>
              <w:jc w:val="center"/>
              <w:rPr>
                <w:rFonts w:ascii="宋体" w:hAnsi="宋体" w:eastAsia="宋体"/>
              </w:rPr>
            </w:pPr>
            <w:r>
              <w:rPr>
                <w:rFonts w:ascii="宋体" w:hAnsi="宋体" w:eastAsia="宋体"/>
                <w:sz w:val="24"/>
              </w:rPr>
              <w:t>每次环保定检工作开展前应通知监管人员现场监督</w:t>
            </w:r>
          </w:p>
        </w:tc>
        <w:tc>
          <w:tcPr>
            <w:tcW w:w="1351" w:type="dxa"/>
            <w:tcBorders>
              <w:top w:val="nil"/>
              <w:left w:val="single" w:color="000000" w:sz="4" w:space="0"/>
              <w:bottom w:val="single" w:color="000000" w:sz="4" w:space="0"/>
              <w:right w:val="single" w:color="000000" w:sz="4" w:space="0"/>
            </w:tcBorders>
          </w:tcPr>
          <w:p w14:paraId="74539D2E">
            <w:pPr>
              <w:jc w:val="center"/>
              <w:rPr>
                <w:rFonts w:ascii="宋体" w:hAnsi="宋体" w:eastAsia="宋体"/>
              </w:rPr>
            </w:pPr>
            <w:r>
              <w:rPr>
                <w:rFonts w:ascii="宋体" w:hAnsi="宋体" w:eastAsia="宋体"/>
                <w:sz w:val="24"/>
              </w:rPr>
              <w:t>未通知监管人员</w:t>
            </w:r>
          </w:p>
        </w:tc>
        <w:tc>
          <w:tcPr>
            <w:tcW w:w="810" w:type="dxa"/>
            <w:tcBorders>
              <w:top w:val="nil"/>
              <w:left w:val="single" w:color="000000" w:sz="4" w:space="0"/>
              <w:bottom w:val="single" w:color="000000" w:sz="4" w:space="0"/>
              <w:right w:val="single" w:color="000000" w:sz="4" w:space="0"/>
            </w:tcBorders>
          </w:tcPr>
          <w:p w14:paraId="69C7E4B5">
            <w:pPr>
              <w:jc w:val="center"/>
              <w:rPr>
                <w:rFonts w:ascii="宋体" w:hAnsi="宋体" w:eastAsia="宋体"/>
              </w:rPr>
            </w:pPr>
            <w:r>
              <w:rPr>
                <w:rFonts w:ascii="宋体" w:hAnsi="宋体" w:eastAsia="宋体"/>
                <w:sz w:val="24"/>
              </w:rPr>
              <w:t>每次</w:t>
            </w:r>
          </w:p>
          <w:p w14:paraId="3431D41B">
            <w:pPr>
              <w:jc w:val="center"/>
              <w:rPr>
                <w:rFonts w:ascii="宋体" w:hAnsi="宋体" w:eastAsia="宋体"/>
              </w:rPr>
            </w:pPr>
            <w:r>
              <w:rPr>
                <w:rFonts w:ascii="宋体" w:hAnsi="宋体" w:eastAsia="宋体"/>
                <w:sz w:val="24"/>
              </w:rPr>
              <w:t>扣0.5分</w:t>
            </w:r>
          </w:p>
        </w:tc>
      </w:tr>
      <w:tr w14:paraId="2C57DB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F359EA4">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37EA52A2">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0D138871">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246834EC">
            <w:pPr>
              <w:jc w:val="center"/>
              <w:rPr>
                <w:rFonts w:ascii="宋体" w:hAnsi="宋体" w:eastAsia="宋体"/>
              </w:rPr>
            </w:pPr>
            <w:r>
              <w:rPr>
                <w:rFonts w:ascii="宋体" w:hAnsi="宋体" w:eastAsia="宋体"/>
                <w:sz w:val="24"/>
              </w:rPr>
              <w:t>8</w:t>
            </w:r>
          </w:p>
        </w:tc>
        <w:tc>
          <w:tcPr>
            <w:tcW w:w="3043" w:type="dxa"/>
            <w:tcBorders>
              <w:top w:val="nil"/>
              <w:left w:val="single" w:color="000000" w:sz="4" w:space="0"/>
              <w:bottom w:val="single" w:color="000000" w:sz="4" w:space="0"/>
              <w:right w:val="single" w:color="000000" w:sz="4" w:space="0"/>
            </w:tcBorders>
          </w:tcPr>
          <w:p w14:paraId="17B7FE44">
            <w:pPr>
              <w:jc w:val="center"/>
              <w:rPr>
                <w:rFonts w:ascii="宋体" w:hAnsi="宋体" w:eastAsia="宋体"/>
              </w:rPr>
            </w:pPr>
            <w:r>
              <w:rPr>
                <w:rFonts w:hint="eastAsia" w:ascii="宋体" w:hAnsi="宋体" w:eastAsia="宋体"/>
                <w:sz w:val="24"/>
              </w:rPr>
              <w:t>飞灰填埋场日常</w:t>
            </w:r>
            <w:r>
              <w:rPr>
                <w:rFonts w:ascii="宋体" w:hAnsi="宋体" w:eastAsia="宋体"/>
                <w:sz w:val="24"/>
              </w:rPr>
              <w:t>监测项及监测频次应达到生态环境部门最新要求</w:t>
            </w:r>
          </w:p>
        </w:tc>
        <w:tc>
          <w:tcPr>
            <w:tcW w:w="1351" w:type="dxa"/>
            <w:tcBorders>
              <w:top w:val="nil"/>
              <w:left w:val="single" w:color="000000" w:sz="4" w:space="0"/>
              <w:bottom w:val="single" w:color="000000" w:sz="4" w:space="0"/>
              <w:right w:val="single" w:color="000000" w:sz="4" w:space="0"/>
            </w:tcBorders>
          </w:tcPr>
          <w:p w14:paraId="3440ED5C">
            <w:pPr>
              <w:jc w:val="center"/>
              <w:rPr>
                <w:rFonts w:ascii="宋体" w:hAnsi="宋体" w:eastAsia="宋体"/>
              </w:rPr>
            </w:pPr>
            <w:r>
              <w:rPr>
                <w:rFonts w:ascii="宋体" w:hAnsi="宋体" w:eastAsia="宋体"/>
                <w:sz w:val="24"/>
              </w:rPr>
              <w:t>未达到要求的</w:t>
            </w:r>
          </w:p>
        </w:tc>
        <w:tc>
          <w:tcPr>
            <w:tcW w:w="810" w:type="dxa"/>
            <w:tcBorders>
              <w:top w:val="nil"/>
              <w:left w:val="single" w:color="000000" w:sz="4" w:space="0"/>
              <w:bottom w:val="single" w:color="000000" w:sz="4" w:space="0"/>
              <w:right w:val="single" w:color="000000" w:sz="4" w:space="0"/>
            </w:tcBorders>
          </w:tcPr>
          <w:p w14:paraId="0D5AFF52">
            <w:pPr>
              <w:jc w:val="center"/>
              <w:rPr>
                <w:rFonts w:ascii="宋体" w:hAnsi="宋体" w:eastAsia="宋体"/>
              </w:rPr>
            </w:pPr>
            <w:r>
              <w:rPr>
                <w:rFonts w:ascii="宋体" w:hAnsi="宋体" w:eastAsia="宋体"/>
                <w:sz w:val="24"/>
              </w:rPr>
              <w:t>每指标</w:t>
            </w:r>
          </w:p>
          <w:p w14:paraId="1B83C5AA">
            <w:pPr>
              <w:jc w:val="center"/>
              <w:rPr>
                <w:rFonts w:ascii="宋体" w:hAnsi="宋体" w:eastAsia="宋体"/>
              </w:rPr>
            </w:pPr>
            <w:r>
              <w:rPr>
                <w:rFonts w:ascii="宋体" w:hAnsi="宋体" w:eastAsia="宋体"/>
                <w:sz w:val="24"/>
              </w:rPr>
              <w:t>扣2分</w:t>
            </w:r>
          </w:p>
        </w:tc>
      </w:tr>
      <w:tr w14:paraId="4FAAE4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36F8992">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3D118B77">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4BAACF3C">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2D3C921A">
            <w:pPr>
              <w:jc w:val="center"/>
              <w:rPr>
                <w:rFonts w:ascii="宋体" w:hAnsi="宋体" w:eastAsia="宋体"/>
              </w:rPr>
            </w:pPr>
            <w:r>
              <w:rPr>
                <w:rFonts w:ascii="宋体" w:hAnsi="宋体" w:eastAsia="宋体"/>
                <w:sz w:val="24"/>
              </w:rPr>
              <w:t>9</w:t>
            </w:r>
          </w:p>
        </w:tc>
        <w:tc>
          <w:tcPr>
            <w:tcW w:w="3043" w:type="dxa"/>
            <w:tcBorders>
              <w:top w:val="nil"/>
              <w:left w:val="single" w:color="000000" w:sz="4" w:space="0"/>
              <w:bottom w:val="single" w:color="000000" w:sz="4" w:space="0"/>
              <w:right w:val="single" w:color="000000" w:sz="4" w:space="0"/>
            </w:tcBorders>
          </w:tcPr>
          <w:p w14:paraId="0F60D500">
            <w:pPr>
              <w:jc w:val="center"/>
              <w:rPr>
                <w:rFonts w:ascii="宋体" w:hAnsi="宋体" w:eastAsia="宋体"/>
              </w:rPr>
            </w:pPr>
            <w:r>
              <w:rPr>
                <w:rFonts w:ascii="宋体" w:hAnsi="宋体" w:eastAsia="宋体"/>
                <w:sz w:val="24"/>
              </w:rPr>
              <w:t>做好环保日常巡查和排查工作，建立环保日常台账资料</w:t>
            </w:r>
          </w:p>
        </w:tc>
        <w:tc>
          <w:tcPr>
            <w:tcW w:w="1351" w:type="dxa"/>
            <w:tcBorders>
              <w:top w:val="nil"/>
              <w:left w:val="single" w:color="000000" w:sz="4" w:space="0"/>
              <w:bottom w:val="single" w:color="000000" w:sz="4" w:space="0"/>
              <w:right w:val="single" w:color="000000" w:sz="4" w:space="0"/>
            </w:tcBorders>
          </w:tcPr>
          <w:p w14:paraId="6C7F55EA">
            <w:pPr>
              <w:jc w:val="center"/>
              <w:rPr>
                <w:rFonts w:ascii="宋体" w:hAnsi="宋体" w:eastAsia="宋体"/>
              </w:rPr>
            </w:pPr>
            <w:r>
              <w:rPr>
                <w:rFonts w:ascii="宋体" w:hAnsi="宋体" w:eastAsia="宋体"/>
                <w:sz w:val="24"/>
              </w:rPr>
              <w:t>台账资料不全</w:t>
            </w:r>
          </w:p>
        </w:tc>
        <w:tc>
          <w:tcPr>
            <w:tcW w:w="810" w:type="dxa"/>
            <w:tcBorders>
              <w:top w:val="nil"/>
              <w:left w:val="single" w:color="000000" w:sz="4" w:space="0"/>
              <w:bottom w:val="single" w:color="000000" w:sz="4" w:space="0"/>
              <w:right w:val="single" w:color="000000" w:sz="4" w:space="0"/>
            </w:tcBorders>
          </w:tcPr>
          <w:p w14:paraId="14A272AF">
            <w:pPr>
              <w:jc w:val="center"/>
              <w:rPr>
                <w:rFonts w:ascii="宋体" w:hAnsi="宋体" w:eastAsia="宋体"/>
              </w:rPr>
            </w:pPr>
            <w:r>
              <w:rPr>
                <w:rFonts w:ascii="宋体" w:hAnsi="宋体" w:eastAsia="宋体"/>
                <w:sz w:val="24"/>
              </w:rPr>
              <w:t>每项</w:t>
            </w:r>
          </w:p>
          <w:p w14:paraId="64F3643F">
            <w:pPr>
              <w:jc w:val="center"/>
              <w:rPr>
                <w:rFonts w:ascii="宋体" w:hAnsi="宋体" w:eastAsia="宋体"/>
              </w:rPr>
            </w:pPr>
            <w:r>
              <w:rPr>
                <w:rFonts w:ascii="宋体" w:hAnsi="宋体" w:eastAsia="宋体"/>
                <w:sz w:val="24"/>
              </w:rPr>
              <w:t>扣0.5分</w:t>
            </w:r>
          </w:p>
        </w:tc>
      </w:tr>
      <w:tr w14:paraId="145F9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4441D12">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68C51583">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291FD1F1">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059A16C9">
            <w:pPr>
              <w:jc w:val="center"/>
              <w:rPr>
                <w:rFonts w:ascii="宋体" w:hAnsi="宋体" w:eastAsia="宋体"/>
              </w:rPr>
            </w:pPr>
            <w:r>
              <w:rPr>
                <w:rFonts w:ascii="宋体" w:hAnsi="宋体" w:eastAsia="宋体"/>
                <w:sz w:val="24"/>
              </w:rPr>
              <w:t>10</w:t>
            </w:r>
          </w:p>
        </w:tc>
        <w:tc>
          <w:tcPr>
            <w:tcW w:w="3043" w:type="dxa"/>
            <w:tcBorders>
              <w:top w:val="nil"/>
              <w:left w:val="single" w:color="000000" w:sz="4" w:space="0"/>
              <w:bottom w:val="single" w:color="000000" w:sz="4" w:space="0"/>
              <w:right w:val="single" w:color="000000" w:sz="4" w:space="0"/>
            </w:tcBorders>
          </w:tcPr>
          <w:p w14:paraId="41C5ED8A">
            <w:pPr>
              <w:jc w:val="center"/>
              <w:rPr>
                <w:rFonts w:ascii="宋体" w:hAnsi="宋体" w:eastAsia="宋体"/>
              </w:rPr>
            </w:pPr>
            <w:r>
              <w:rPr>
                <w:rFonts w:ascii="宋体" w:hAnsi="宋体" w:eastAsia="宋体"/>
                <w:sz w:val="24"/>
              </w:rPr>
              <w:t>运营方应</w:t>
            </w:r>
            <w:r>
              <w:rPr>
                <w:rFonts w:hint="eastAsia" w:ascii="宋体" w:hAnsi="宋体" w:eastAsia="宋体"/>
                <w:sz w:val="24"/>
              </w:rPr>
              <w:t>配合有关部门</w:t>
            </w:r>
            <w:r>
              <w:rPr>
                <w:rFonts w:ascii="宋体" w:hAnsi="宋体" w:eastAsia="宋体"/>
                <w:sz w:val="24"/>
              </w:rPr>
              <w:t>做好环保检测报告的追踪上报工作</w:t>
            </w:r>
          </w:p>
        </w:tc>
        <w:tc>
          <w:tcPr>
            <w:tcW w:w="1351" w:type="dxa"/>
            <w:tcBorders>
              <w:top w:val="nil"/>
              <w:left w:val="single" w:color="000000" w:sz="4" w:space="0"/>
              <w:bottom w:val="single" w:color="000000" w:sz="4" w:space="0"/>
              <w:right w:val="single" w:color="000000" w:sz="4" w:space="0"/>
            </w:tcBorders>
          </w:tcPr>
          <w:p w14:paraId="0AFC5745">
            <w:pPr>
              <w:jc w:val="center"/>
              <w:rPr>
                <w:rFonts w:ascii="宋体" w:hAnsi="宋体" w:eastAsia="宋体"/>
              </w:rPr>
            </w:pPr>
            <w:r>
              <w:rPr>
                <w:rFonts w:ascii="宋体" w:hAnsi="宋体" w:eastAsia="宋体"/>
                <w:sz w:val="24"/>
              </w:rPr>
              <w:t>存在采样3个月后仍未上报检测报告的</w:t>
            </w:r>
          </w:p>
        </w:tc>
        <w:tc>
          <w:tcPr>
            <w:tcW w:w="810" w:type="dxa"/>
            <w:tcBorders>
              <w:top w:val="nil"/>
              <w:left w:val="single" w:color="000000" w:sz="4" w:space="0"/>
              <w:bottom w:val="single" w:color="000000" w:sz="4" w:space="0"/>
              <w:right w:val="single" w:color="000000" w:sz="4" w:space="0"/>
            </w:tcBorders>
          </w:tcPr>
          <w:p w14:paraId="09DF5CD2">
            <w:pPr>
              <w:jc w:val="center"/>
              <w:rPr>
                <w:rFonts w:ascii="宋体" w:hAnsi="宋体" w:eastAsia="宋体"/>
              </w:rPr>
            </w:pPr>
            <w:r>
              <w:rPr>
                <w:rFonts w:ascii="宋体" w:hAnsi="宋体" w:eastAsia="宋体"/>
                <w:sz w:val="24"/>
              </w:rPr>
              <w:t>每项</w:t>
            </w:r>
          </w:p>
          <w:p w14:paraId="735BDFD7">
            <w:pPr>
              <w:jc w:val="center"/>
              <w:rPr>
                <w:rFonts w:ascii="宋体" w:hAnsi="宋体" w:eastAsia="宋体"/>
              </w:rPr>
            </w:pPr>
            <w:r>
              <w:rPr>
                <w:rFonts w:ascii="宋体" w:hAnsi="宋体" w:eastAsia="宋体"/>
                <w:sz w:val="24"/>
              </w:rPr>
              <w:t>扣1分</w:t>
            </w:r>
          </w:p>
        </w:tc>
      </w:tr>
      <w:tr w14:paraId="4D2951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D50EAF0">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7E55841B">
            <w:pPr>
              <w:jc w:val="center"/>
              <w:rPr>
                <w:rFonts w:ascii="宋体" w:hAnsi="宋体" w:eastAsia="宋体"/>
              </w:rPr>
            </w:pPr>
            <w:r>
              <w:rPr>
                <w:rFonts w:ascii="宋体" w:hAnsi="宋体" w:eastAsia="宋体"/>
                <w:sz w:val="24"/>
              </w:rPr>
              <w:t>3</w:t>
            </w:r>
          </w:p>
        </w:tc>
        <w:tc>
          <w:tcPr>
            <w:tcW w:w="1422" w:type="dxa"/>
            <w:vMerge w:val="restart"/>
            <w:tcBorders>
              <w:top w:val="nil"/>
              <w:left w:val="single" w:color="000000" w:sz="4" w:space="0"/>
              <w:bottom w:val="single" w:color="000000" w:sz="4" w:space="0"/>
              <w:right w:val="single" w:color="000000" w:sz="4" w:space="0"/>
            </w:tcBorders>
          </w:tcPr>
          <w:p w14:paraId="4E1A841F">
            <w:pPr>
              <w:jc w:val="center"/>
              <w:rPr>
                <w:rFonts w:ascii="宋体" w:hAnsi="宋体" w:eastAsia="宋体"/>
              </w:rPr>
            </w:pPr>
            <w:r>
              <w:rPr>
                <w:rFonts w:ascii="宋体" w:hAnsi="宋体" w:eastAsia="宋体"/>
                <w:sz w:val="24"/>
              </w:rPr>
              <w:t>消防维保定检计划</w:t>
            </w:r>
          </w:p>
        </w:tc>
        <w:tc>
          <w:tcPr>
            <w:tcW w:w="426" w:type="dxa"/>
            <w:tcBorders>
              <w:top w:val="nil"/>
              <w:left w:val="single" w:color="000000" w:sz="4" w:space="0"/>
              <w:bottom w:val="single" w:color="000000" w:sz="4" w:space="0"/>
              <w:right w:val="single" w:color="000000" w:sz="4" w:space="0"/>
            </w:tcBorders>
          </w:tcPr>
          <w:p w14:paraId="2310ED96">
            <w:pPr>
              <w:jc w:val="center"/>
              <w:rPr>
                <w:rFonts w:ascii="宋体" w:hAnsi="宋体" w:eastAsia="宋体"/>
              </w:rPr>
            </w:pPr>
            <w:r>
              <w:rPr>
                <w:rFonts w:ascii="宋体" w:hAnsi="宋体" w:eastAsia="宋体"/>
                <w:sz w:val="24"/>
              </w:rPr>
              <w:t>11</w:t>
            </w:r>
          </w:p>
        </w:tc>
        <w:tc>
          <w:tcPr>
            <w:tcW w:w="3043" w:type="dxa"/>
            <w:tcBorders>
              <w:top w:val="nil"/>
              <w:left w:val="single" w:color="000000" w:sz="4" w:space="0"/>
              <w:bottom w:val="single" w:color="000000" w:sz="4" w:space="0"/>
              <w:right w:val="single" w:color="000000" w:sz="4" w:space="0"/>
            </w:tcBorders>
          </w:tcPr>
          <w:p w14:paraId="49AF665C">
            <w:pPr>
              <w:jc w:val="center"/>
              <w:rPr>
                <w:rFonts w:ascii="宋体" w:hAnsi="宋体" w:eastAsia="宋体"/>
              </w:rPr>
            </w:pPr>
            <w:r>
              <w:rPr>
                <w:rFonts w:ascii="宋体" w:hAnsi="宋体" w:eastAsia="宋体"/>
                <w:sz w:val="24"/>
              </w:rPr>
              <w:t>按月完成消防设施检查，在检查卡上做好记录</w:t>
            </w:r>
          </w:p>
        </w:tc>
        <w:tc>
          <w:tcPr>
            <w:tcW w:w="1351" w:type="dxa"/>
            <w:tcBorders>
              <w:top w:val="nil"/>
              <w:left w:val="single" w:color="000000" w:sz="4" w:space="0"/>
              <w:bottom w:val="single" w:color="000000" w:sz="4" w:space="0"/>
              <w:right w:val="single" w:color="000000" w:sz="4" w:space="0"/>
            </w:tcBorders>
          </w:tcPr>
          <w:p w14:paraId="70085586">
            <w:pPr>
              <w:jc w:val="center"/>
              <w:rPr>
                <w:rFonts w:ascii="宋体" w:hAnsi="宋体" w:eastAsia="宋体"/>
              </w:rPr>
            </w:pPr>
            <w:r>
              <w:rPr>
                <w:rFonts w:ascii="宋体" w:hAnsi="宋体" w:eastAsia="宋体"/>
                <w:sz w:val="24"/>
              </w:rPr>
              <w:t>未定期检查</w:t>
            </w:r>
          </w:p>
        </w:tc>
        <w:tc>
          <w:tcPr>
            <w:tcW w:w="810" w:type="dxa"/>
            <w:tcBorders>
              <w:top w:val="nil"/>
              <w:left w:val="single" w:color="000000" w:sz="4" w:space="0"/>
              <w:bottom w:val="single" w:color="000000" w:sz="4" w:space="0"/>
              <w:right w:val="single" w:color="000000" w:sz="4" w:space="0"/>
            </w:tcBorders>
          </w:tcPr>
          <w:p w14:paraId="2398F938">
            <w:pPr>
              <w:jc w:val="center"/>
              <w:rPr>
                <w:rFonts w:ascii="宋体" w:hAnsi="宋体" w:eastAsia="宋体"/>
              </w:rPr>
            </w:pPr>
            <w:r>
              <w:rPr>
                <w:rFonts w:ascii="宋体" w:hAnsi="宋体" w:eastAsia="宋体"/>
                <w:sz w:val="24"/>
              </w:rPr>
              <w:t>扣0.5分</w:t>
            </w:r>
          </w:p>
        </w:tc>
      </w:tr>
      <w:tr w14:paraId="365922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2069A969">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A2FFC99">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1D018F09">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40A79967">
            <w:pPr>
              <w:jc w:val="center"/>
              <w:rPr>
                <w:rFonts w:ascii="宋体" w:hAnsi="宋体" w:eastAsia="宋体"/>
              </w:rPr>
            </w:pPr>
            <w:r>
              <w:rPr>
                <w:rFonts w:ascii="宋体" w:hAnsi="宋体" w:eastAsia="宋体"/>
                <w:sz w:val="24"/>
              </w:rPr>
              <w:t>12</w:t>
            </w:r>
          </w:p>
        </w:tc>
        <w:tc>
          <w:tcPr>
            <w:tcW w:w="3043" w:type="dxa"/>
            <w:tcBorders>
              <w:top w:val="nil"/>
              <w:left w:val="single" w:color="000000" w:sz="4" w:space="0"/>
              <w:bottom w:val="single" w:color="000000" w:sz="4" w:space="0"/>
              <w:right w:val="single" w:color="000000" w:sz="4" w:space="0"/>
            </w:tcBorders>
          </w:tcPr>
          <w:p w14:paraId="36735CCC">
            <w:pPr>
              <w:jc w:val="center"/>
              <w:rPr>
                <w:rFonts w:ascii="宋体" w:hAnsi="宋体" w:eastAsia="宋体"/>
              </w:rPr>
            </w:pPr>
            <w:r>
              <w:rPr>
                <w:rFonts w:ascii="宋体" w:hAnsi="宋体" w:eastAsia="宋体"/>
                <w:sz w:val="24"/>
              </w:rPr>
              <w:t>确保消防维保工作良好完成，消防设备应良好投用</w:t>
            </w:r>
          </w:p>
        </w:tc>
        <w:tc>
          <w:tcPr>
            <w:tcW w:w="1351" w:type="dxa"/>
            <w:tcBorders>
              <w:top w:val="nil"/>
              <w:left w:val="single" w:color="000000" w:sz="4" w:space="0"/>
              <w:bottom w:val="single" w:color="000000" w:sz="4" w:space="0"/>
              <w:right w:val="single" w:color="000000" w:sz="4" w:space="0"/>
            </w:tcBorders>
          </w:tcPr>
          <w:p w14:paraId="3FB0AB83">
            <w:pPr>
              <w:jc w:val="center"/>
              <w:rPr>
                <w:rFonts w:ascii="宋体" w:hAnsi="宋体" w:eastAsia="宋体"/>
              </w:rPr>
            </w:pPr>
            <w:r>
              <w:rPr>
                <w:rFonts w:ascii="宋体" w:hAnsi="宋体" w:eastAsia="宋体"/>
                <w:sz w:val="24"/>
              </w:rPr>
              <w:t>维保工作落实不良，消防设施无法良好投用</w:t>
            </w:r>
          </w:p>
        </w:tc>
        <w:tc>
          <w:tcPr>
            <w:tcW w:w="810" w:type="dxa"/>
            <w:tcBorders>
              <w:top w:val="nil"/>
              <w:left w:val="single" w:color="000000" w:sz="4" w:space="0"/>
              <w:bottom w:val="single" w:color="000000" w:sz="4" w:space="0"/>
              <w:right w:val="single" w:color="000000" w:sz="4" w:space="0"/>
            </w:tcBorders>
          </w:tcPr>
          <w:p w14:paraId="37F0E56C">
            <w:pPr>
              <w:jc w:val="center"/>
              <w:rPr>
                <w:rFonts w:ascii="宋体" w:hAnsi="宋体" w:eastAsia="宋体"/>
              </w:rPr>
            </w:pPr>
            <w:r>
              <w:rPr>
                <w:rFonts w:ascii="宋体" w:hAnsi="宋体" w:eastAsia="宋体"/>
                <w:sz w:val="24"/>
              </w:rPr>
              <w:t>每处</w:t>
            </w:r>
          </w:p>
          <w:p w14:paraId="35853F2C">
            <w:pPr>
              <w:jc w:val="center"/>
              <w:rPr>
                <w:rFonts w:ascii="宋体" w:hAnsi="宋体" w:eastAsia="宋体"/>
              </w:rPr>
            </w:pPr>
            <w:r>
              <w:rPr>
                <w:rFonts w:ascii="宋体" w:hAnsi="宋体" w:eastAsia="宋体"/>
                <w:sz w:val="24"/>
              </w:rPr>
              <w:t>扣1分</w:t>
            </w:r>
          </w:p>
        </w:tc>
      </w:tr>
      <w:tr w14:paraId="436B35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56434078">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1AA50F7">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5795F657">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7A78AAC8">
            <w:pPr>
              <w:jc w:val="center"/>
              <w:rPr>
                <w:rFonts w:ascii="宋体" w:hAnsi="宋体" w:eastAsia="宋体"/>
              </w:rPr>
            </w:pPr>
            <w:r>
              <w:rPr>
                <w:rFonts w:ascii="宋体" w:hAnsi="宋体" w:eastAsia="宋体"/>
                <w:sz w:val="24"/>
              </w:rPr>
              <w:t>13</w:t>
            </w:r>
          </w:p>
        </w:tc>
        <w:tc>
          <w:tcPr>
            <w:tcW w:w="3043" w:type="dxa"/>
            <w:tcBorders>
              <w:top w:val="nil"/>
              <w:left w:val="single" w:color="000000" w:sz="4" w:space="0"/>
              <w:bottom w:val="single" w:color="000000" w:sz="4" w:space="0"/>
              <w:right w:val="single" w:color="000000" w:sz="4" w:space="0"/>
            </w:tcBorders>
          </w:tcPr>
          <w:p w14:paraId="5FCF8886">
            <w:pPr>
              <w:jc w:val="center"/>
              <w:rPr>
                <w:rFonts w:ascii="宋体" w:hAnsi="宋体" w:eastAsia="宋体"/>
              </w:rPr>
            </w:pPr>
            <w:r>
              <w:rPr>
                <w:rFonts w:ascii="宋体" w:hAnsi="宋体" w:eastAsia="宋体"/>
                <w:sz w:val="24"/>
              </w:rPr>
              <w:t>消防器材、设备、设施，除抢险救灾外，不得用于与消防工作无关的方面。</w:t>
            </w:r>
          </w:p>
        </w:tc>
        <w:tc>
          <w:tcPr>
            <w:tcW w:w="1351" w:type="dxa"/>
            <w:tcBorders>
              <w:top w:val="nil"/>
              <w:left w:val="single" w:color="000000" w:sz="4" w:space="0"/>
              <w:bottom w:val="single" w:color="000000" w:sz="4" w:space="0"/>
              <w:right w:val="single" w:color="000000" w:sz="4" w:space="0"/>
            </w:tcBorders>
          </w:tcPr>
          <w:p w14:paraId="3AB9476E">
            <w:pPr>
              <w:jc w:val="center"/>
              <w:rPr>
                <w:rFonts w:ascii="宋体" w:hAnsi="宋体" w:eastAsia="宋体"/>
              </w:rPr>
            </w:pPr>
            <w:r>
              <w:rPr>
                <w:rFonts w:ascii="宋体" w:hAnsi="宋体" w:eastAsia="宋体"/>
                <w:sz w:val="24"/>
              </w:rPr>
              <w:t>发现消防设施器材等挪作他用的情况</w:t>
            </w:r>
          </w:p>
        </w:tc>
        <w:tc>
          <w:tcPr>
            <w:tcW w:w="810" w:type="dxa"/>
            <w:tcBorders>
              <w:top w:val="nil"/>
              <w:left w:val="single" w:color="000000" w:sz="4" w:space="0"/>
              <w:bottom w:val="single" w:color="000000" w:sz="4" w:space="0"/>
              <w:right w:val="single" w:color="000000" w:sz="4" w:space="0"/>
            </w:tcBorders>
          </w:tcPr>
          <w:p w14:paraId="378AB6CA">
            <w:pPr>
              <w:jc w:val="center"/>
              <w:rPr>
                <w:rFonts w:ascii="宋体" w:hAnsi="宋体" w:eastAsia="宋体"/>
              </w:rPr>
            </w:pPr>
            <w:r>
              <w:rPr>
                <w:rFonts w:ascii="宋体" w:hAnsi="宋体" w:eastAsia="宋体"/>
                <w:sz w:val="24"/>
              </w:rPr>
              <w:t>每次</w:t>
            </w:r>
          </w:p>
          <w:p w14:paraId="423F9320">
            <w:pPr>
              <w:jc w:val="center"/>
              <w:rPr>
                <w:rFonts w:ascii="宋体" w:hAnsi="宋体" w:eastAsia="宋体"/>
              </w:rPr>
            </w:pPr>
            <w:r>
              <w:rPr>
                <w:rFonts w:ascii="宋体" w:hAnsi="宋体" w:eastAsia="宋体"/>
                <w:sz w:val="24"/>
              </w:rPr>
              <w:t>扣1分</w:t>
            </w:r>
          </w:p>
        </w:tc>
      </w:tr>
      <w:tr w14:paraId="2103CB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22EFB6B9">
            <w:pPr>
              <w:rPr>
                <w:rFonts w:ascii="宋体" w:hAnsi="宋体" w:eastAsia="宋体"/>
              </w:rPr>
            </w:pPr>
          </w:p>
        </w:tc>
        <w:tc>
          <w:tcPr>
            <w:tcW w:w="369" w:type="dxa"/>
            <w:tcBorders>
              <w:top w:val="nil"/>
              <w:left w:val="single" w:color="000000" w:sz="4" w:space="0"/>
              <w:bottom w:val="single" w:color="000000" w:sz="4" w:space="0"/>
              <w:right w:val="single" w:color="000000" w:sz="4" w:space="0"/>
            </w:tcBorders>
          </w:tcPr>
          <w:p w14:paraId="46C84C17">
            <w:pPr>
              <w:jc w:val="center"/>
              <w:rPr>
                <w:rFonts w:ascii="宋体" w:hAnsi="宋体" w:eastAsia="宋体"/>
              </w:rPr>
            </w:pPr>
            <w:r>
              <w:rPr>
                <w:rFonts w:ascii="宋体" w:hAnsi="宋体" w:eastAsia="宋体"/>
                <w:sz w:val="24"/>
              </w:rPr>
              <w:t>4</w:t>
            </w:r>
          </w:p>
        </w:tc>
        <w:tc>
          <w:tcPr>
            <w:tcW w:w="1422" w:type="dxa"/>
            <w:tcBorders>
              <w:top w:val="nil"/>
              <w:left w:val="single" w:color="000000" w:sz="4" w:space="0"/>
              <w:bottom w:val="single" w:color="000000" w:sz="4" w:space="0"/>
              <w:right w:val="single" w:color="000000" w:sz="4" w:space="0"/>
            </w:tcBorders>
          </w:tcPr>
          <w:p w14:paraId="5483995C">
            <w:pPr>
              <w:jc w:val="center"/>
              <w:rPr>
                <w:rFonts w:ascii="宋体" w:hAnsi="宋体" w:eastAsia="宋体"/>
              </w:rPr>
            </w:pPr>
            <w:r>
              <w:rPr>
                <w:rFonts w:ascii="宋体" w:hAnsi="宋体" w:eastAsia="宋体"/>
                <w:sz w:val="24"/>
              </w:rPr>
              <w:t>设备检修计划</w:t>
            </w:r>
          </w:p>
        </w:tc>
        <w:tc>
          <w:tcPr>
            <w:tcW w:w="426" w:type="dxa"/>
            <w:tcBorders>
              <w:top w:val="nil"/>
              <w:left w:val="single" w:color="000000" w:sz="4" w:space="0"/>
              <w:bottom w:val="single" w:color="000000" w:sz="4" w:space="0"/>
              <w:right w:val="single" w:color="000000" w:sz="4" w:space="0"/>
            </w:tcBorders>
          </w:tcPr>
          <w:p w14:paraId="6FB8D06E">
            <w:pPr>
              <w:jc w:val="center"/>
              <w:rPr>
                <w:rFonts w:ascii="宋体" w:hAnsi="宋体" w:eastAsia="宋体"/>
              </w:rPr>
            </w:pPr>
            <w:r>
              <w:rPr>
                <w:rFonts w:ascii="宋体" w:hAnsi="宋体" w:eastAsia="宋体"/>
                <w:sz w:val="24"/>
              </w:rPr>
              <w:t>14</w:t>
            </w:r>
          </w:p>
        </w:tc>
        <w:tc>
          <w:tcPr>
            <w:tcW w:w="3043" w:type="dxa"/>
            <w:tcBorders>
              <w:top w:val="nil"/>
              <w:left w:val="single" w:color="000000" w:sz="4" w:space="0"/>
              <w:bottom w:val="single" w:color="000000" w:sz="4" w:space="0"/>
              <w:right w:val="single" w:color="000000" w:sz="4" w:space="0"/>
            </w:tcBorders>
          </w:tcPr>
          <w:p w14:paraId="6A1E81A9">
            <w:pPr>
              <w:jc w:val="center"/>
              <w:rPr>
                <w:rFonts w:ascii="宋体" w:hAnsi="宋体" w:eastAsia="宋体"/>
              </w:rPr>
            </w:pPr>
            <w:r>
              <w:rPr>
                <w:rFonts w:ascii="宋体" w:hAnsi="宋体" w:eastAsia="宋体"/>
                <w:sz w:val="24"/>
              </w:rPr>
              <w:t>定期检修设备，发现问题及时检修或更换设备</w:t>
            </w:r>
          </w:p>
        </w:tc>
        <w:tc>
          <w:tcPr>
            <w:tcW w:w="1351" w:type="dxa"/>
            <w:tcBorders>
              <w:top w:val="nil"/>
              <w:left w:val="single" w:color="000000" w:sz="4" w:space="0"/>
              <w:bottom w:val="single" w:color="000000" w:sz="4" w:space="0"/>
              <w:right w:val="single" w:color="000000" w:sz="4" w:space="0"/>
            </w:tcBorders>
          </w:tcPr>
          <w:p w14:paraId="2E141A95">
            <w:pPr>
              <w:jc w:val="center"/>
              <w:rPr>
                <w:rFonts w:ascii="宋体" w:hAnsi="宋体" w:eastAsia="宋体"/>
              </w:rPr>
            </w:pPr>
            <w:r>
              <w:rPr>
                <w:rFonts w:ascii="宋体" w:hAnsi="宋体" w:eastAsia="宋体"/>
                <w:sz w:val="24"/>
              </w:rPr>
              <w:t>未按要求上报</w:t>
            </w:r>
          </w:p>
        </w:tc>
        <w:tc>
          <w:tcPr>
            <w:tcW w:w="810" w:type="dxa"/>
            <w:tcBorders>
              <w:top w:val="nil"/>
              <w:left w:val="single" w:color="000000" w:sz="4" w:space="0"/>
              <w:bottom w:val="single" w:color="000000" w:sz="4" w:space="0"/>
              <w:right w:val="single" w:color="000000" w:sz="4" w:space="0"/>
            </w:tcBorders>
          </w:tcPr>
          <w:p w14:paraId="26AEA626">
            <w:pPr>
              <w:jc w:val="center"/>
              <w:rPr>
                <w:rFonts w:ascii="宋体" w:hAnsi="宋体" w:eastAsia="宋体"/>
              </w:rPr>
            </w:pPr>
            <w:r>
              <w:rPr>
                <w:rFonts w:ascii="宋体" w:hAnsi="宋体" w:eastAsia="宋体"/>
                <w:sz w:val="24"/>
              </w:rPr>
              <w:t>扣1分</w:t>
            </w:r>
          </w:p>
        </w:tc>
      </w:tr>
      <w:tr w14:paraId="347C93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0CD4E7CA">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19FCF377">
            <w:pPr>
              <w:jc w:val="center"/>
              <w:rPr>
                <w:rFonts w:ascii="宋体" w:hAnsi="宋体" w:eastAsia="宋体"/>
              </w:rPr>
            </w:pPr>
            <w:r>
              <w:rPr>
                <w:rFonts w:ascii="宋体" w:hAnsi="宋体" w:eastAsia="宋体"/>
                <w:sz w:val="24"/>
              </w:rPr>
              <w:t>5</w:t>
            </w:r>
          </w:p>
        </w:tc>
        <w:tc>
          <w:tcPr>
            <w:tcW w:w="1422" w:type="dxa"/>
            <w:vMerge w:val="restart"/>
            <w:tcBorders>
              <w:top w:val="nil"/>
              <w:left w:val="single" w:color="000000" w:sz="4" w:space="0"/>
              <w:bottom w:val="single" w:color="000000" w:sz="4" w:space="0"/>
              <w:right w:val="single" w:color="000000" w:sz="4" w:space="0"/>
            </w:tcBorders>
          </w:tcPr>
          <w:p w14:paraId="5CFA9CC5">
            <w:pPr>
              <w:jc w:val="center"/>
              <w:rPr>
                <w:rFonts w:ascii="宋体" w:hAnsi="宋体" w:eastAsia="宋体"/>
              </w:rPr>
            </w:pPr>
            <w:r>
              <w:rPr>
                <w:rFonts w:ascii="宋体" w:hAnsi="宋体" w:eastAsia="宋体"/>
                <w:sz w:val="24"/>
              </w:rPr>
              <w:t>培训演练计划</w:t>
            </w:r>
          </w:p>
        </w:tc>
        <w:tc>
          <w:tcPr>
            <w:tcW w:w="426" w:type="dxa"/>
            <w:tcBorders>
              <w:top w:val="nil"/>
              <w:left w:val="single" w:color="000000" w:sz="4" w:space="0"/>
              <w:bottom w:val="single" w:color="000000" w:sz="4" w:space="0"/>
              <w:right w:val="single" w:color="000000" w:sz="4" w:space="0"/>
            </w:tcBorders>
          </w:tcPr>
          <w:p w14:paraId="23AD6F6C">
            <w:pPr>
              <w:jc w:val="center"/>
              <w:rPr>
                <w:rFonts w:ascii="宋体" w:hAnsi="宋体" w:eastAsia="宋体"/>
              </w:rPr>
            </w:pPr>
            <w:r>
              <w:rPr>
                <w:rFonts w:ascii="宋体" w:hAnsi="宋体" w:eastAsia="宋体"/>
                <w:sz w:val="24"/>
              </w:rPr>
              <w:t>15</w:t>
            </w:r>
          </w:p>
        </w:tc>
        <w:tc>
          <w:tcPr>
            <w:tcW w:w="3043" w:type="dxa"/>
            <w:tcBorders>
              <w:top w:val="nil"/>
              <w:left w:val="single" w:color="000000" w:sz="4" w:space="0"/>
              <w:bottom w:val="single" w:color="000000" w:sz="4" w:space="0"/>
              <w:right w:val="single" w:color="000000" w:sz="4" w:space="0"/>
            </w:tcBorders>
          </w:tcPr>
          <w:p w14:paraId="0AA02B9D">
            <w:pPr>
              <w:jc w:val="center"/>
              <w:rPr>
                <w:rFonts w:ascii="宋体" w:hAnsi="宋体" w:eastAsia="宋体"/>
              </w:rPr>
            </w:pPr>
            <w:r>
              <w:rPr>
                <w:rFonts w:ascii="宋体" w:hAnsi="宋体" w:eastAsia="宋体"/>
                <w:sz w:val="24"/>
              </w:rPr>
              <w:t>按计划落实培训演练，提高员工技术水平与应急处置能力，提交演练方案与报告</w:t>
            </w:r>
          </w:p>
        </w:tc>
        <w:tc>
          <w:tcPr>
            <w:tcW w:w="1351" w:type="dxa"/>
            <w:tcBorders>
              <w:top w:val="nil"/>
              <w:left w:val="single" w:color="000000" w:sz="4" w:space="0"/>
              <w:bottom w:val="single" w:color="000000" w:sz="4" w:space="0"/>
              <w:right w:val="single" w:color="000000" w:sz="4" w:space="0"/>
            </w:tcBorders>
          </w:tcPr>
          <w:p w14:paraId="7A6DF6C9">
            <w:pPr>
              <w:jc w:val="center"/>
              <w:rPr>
                <w:rFonts w:ascii="宋体" w:hAnsi="宋体" w:eastAsia="宋体"/>
              </w:rPr>
            </w:pPr>
            <w:r>
              <w:rPr>
                <w:rFonts w:ascii="宋体" w:hAnsi="宋体" w:eastAsia="宋体"/>
                <w:sz w:val="24"/>
              </w:rPr>
              <w:t>未落实培训演练及方案报告的上报工作</w:t>
            </w:r>
          </w:p>
        </w:tc>
        <w:tc>
          <w:tcPr>
            <w:tcW w:w="810" w:type="dxa"/>
            <w:tcBorders>
              <w:top w:val="nil"/>
              <w:left w:val="single" w:color="000000" w:sz="4" w:space="0"/>
              <w:bottom w:val="single" w:color="000000" w:sz="4" w:space="0"/>
              <w:right w:val="single" w:color="000000" w:sz="4" w:space="0"/>
            </w:tcBorders>
          </w:tcPr>
          <w:p w14:paraId="4674C4D4">
            <w:pPr>
              <w:jc w:val="center"/>
              <w:rPr>
                <w:rFonts w:ascii="宋体" w:hAnsi="宋体" w:eastAsia="宋体"/>
              </w:rPr>
            </w:pPr>
            <w:r>
              <w:rPr>
                <w:rFonts w:ascii="宋体" w:hAnsi="宋体" w:eastAsia="宋体"/>
                <w:sz w:val="24"/>
              </w:rPr>
              <w:t>扣1分</w:t>
            </w:r>
          </w:p>
        </w:tc>
      </w:tr>
      <w:tr w14:paraId="59766B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6BAE9605">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B5CBF6D">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50F33758">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7907C8F9">
            <w:pPr>
              <w:jc w:val="center"/>
              <w:rPr>
                <w:rFonts w:ascii="宋体" w:hAnsi="宋体" w:eastAsia="宋体"/>
              </w:rPr>
            </w:pPr>
            <w:r>
              <w:rPr>
                <w:rFonts w:ascii="宋体" w:hAnsi="宋体" w:eastAsia="宋体"/>
                <w:sz w:val="24"/>
              </w:rPr>
              <w:t>16</w:t>
            </w:r>
          </w:p>
        </w:tc>
        <w:tc>
          <w:tcPr>
            <w:tcW w:w="3043" w:type="dxa"/>
            <w:tcBorders>
              <w:top w:val="nil"/>
              <w:left w:val="single" w:color="000000" w:sz="4" w:space="0"/>
              <w:bottom w:val="single" w:color="000000" w:sz="4" w:space="0"/>
              <w:right w:val="single" w:color="000000" w:sz="4" w:space="0"/>
            </w:tcBorders>
          </w:tcPr>
          <w:p w14:paraId="722CDFF5">
            <w:pPr>
              <w:jc w:val="center"/>
              <w:rPr>
                <w:rFonts w:ascii="宋体" w:hAnsi="宋体" w:eastAsia="宋体"/>
              </w:rPr>
            </w:pPr>
            <w:r>
              <w:rPr>
                <w:rFonts w:ascii="宋体" w:hAnsi="宋体" w:eastAsia="宋体"/>
                <w:sz w:val="24"/>
              </w:rPr>
              <w:t>应急预案完善，应急物资应准备充分，状态良好，保证够用能用好用</w:t>
            </w:r>
          </w:p>
        </w:tc>
        <w:tc>
          <w:tcPr>
            <w:tcW w:w="1351" w:type="dxa"/>
            <w:tcBorders>
              <w:top w:val="nil"/>
              <w:left w:val="single" w:color="000000" w:sz="4" w:space="0"/>
              <w:bottom w:val="single" w:color="000000" w:sz="4" w:space="0"/>
              <w:right w:val="single" w:color="000000" w:sz="4" w:space="0"/>
            </w:tcBorders>
          </w:tcPr>
          <w:p w14:paraId="1D68C38B">
            <w:pPr>
              <w:jc w:val="center"/>
              <w:rPr>
                <w:rFonts w:ascii="宋体" w:hAnsi="宋体" w:eastAsia="宋体"/>
              </w:rPr>
            </w:pPr>
            <w:r>
              <w:rPr>
                <w:rFonts w:ascii="宋体" w:hAnsi="宋体" w:eastAsia="宋体"/>
                <w:sz w:val="24"/>
              </w:rPr>
              <w:t>发现应急预案或应急物资未达要求</w:t>
            </w:r>
          </w:p>
        </w:tc>
        <w:tc>
          <w:tcPr>
            <w:tcW w:w="810" w:type="dxa"/>
            <w:tcBorders>
              <w:top w:val="nil"/>
              <w:left w:val="single" w:color="000000" w:sz="4" w:space="0"/>
              <w:bottom w:val="single" w:color="000000" w:sz="4" w:space="0"/>
              <w:right w:val="single" w:color="000000" w:sz="4" w:space="0"/>
            </w:tcBorders>
          </w:tcPr>
          <w:p w14:paraId="56E046A3">
            <w:pPr>
              <w:jc w:val="center"/>
              <w:rPr>
                <w:rFonts w:ascii="宋体" w:hAnsi="宋体" w:eastAsia="宋体"/>
              </w:rPr>
            </w:pPr>
            <w:r>
              <w:rPr>
                <w:rFonts w:ascii="宋体" w:hAnsi="宋体" w:eastAsia="宋体"/>
                <w:sz w:val="24"/>
              </w:rPr>
              <w:t>扣1分</w:t>
            </w:r>
          </w:p>
        </w:tc>
      </w:tr>
      <w:tr w14:paraId="69FCA9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61E5BFAB">
            <w:pPr>
              <w:rPr>
                <w:rFonts w:ascii="宋体" w:hAnsi="宋体" w:eastAsia="宋体"/>
              </w:rPr>
            </w:pPr>
          </w:p>
        </w:tc>
        <w:tc>
          <w:tcPr>
            <w:tcW w:w="369" w:type="dxa"/>
            <w:tcBorders>
              <w:top w:val="nil"/>
              <w:left w:val="single" w:color="000000" w:sz="4" w:space="0"/>
              <w:bottom w:val="single" w:color="000000" w:sz="4" w:space="0"/>
              <w:right w:val="single" w:color="000000" w:sz="4" w:space="0"/>
            </w:tcBorders>
          </w:tcPr>
          <w:p w14:paraId="7CD7CC2D">
            <w:pPr>
              <w:jc w:val="center"/>
              <w:rPr>
                <w:rFonts w:ascii="宋体" w:hAnsi="宋体" w:eastAsia="宋体"/>
              </w:rPr>
            </w:pPr>
            <w:r>
              <w:rPr>
                <w:rFonts w:ascii="宋体" w:hAnsi="宋体" w:eastAsia="宋体"/>
                <w:sz w:val="24"/>
              </w:rPr>
              <w:t>6</w:t>
            </w:r>
          </w:p>
        </w:tc>
        <w:tc>
          <w:tcPr>
            <w:tcW w:w="1422" w:type="dxa"/>
            <w:tcBorders>
              <w:top w:val="nil"/>
              <w:left w:val="single" w:color="000000" w:sz="4" w:space="0"/>
              <w:bottom w:val="single" w:color="000000" w:sz="4" w:space="0"/>
              <w:right w:val="single" w:color="000000" w:sz="4" w:space="0"/>
            </w:tcBorders>
          </w:tcPr>
          <w:p w14:paraId="6B96476C">
            <w:pPr>
              <w:jc w:val="center"/>
              <w:rPr>
                <w:rFonts w:ascii="宋体" w:hAnsi="宋体" w:eastAsia="宋体"/>
              </w:rPr>
            </w:pPr>
            <w:r>
              <w:rPr>
                <w:rFonts w:ascii="宋体" w:hAnsi="宋体" w:eastAsia="宋体"/>
                <w:sz w:val="24"/>
              </w:rPr>
              <w:t>两措计划</w:t>
            </w:r>
          </w:p>
        </w:tc>
        <w:tc>
          <w:tcPr>
            <w:tcW w:w="426" w:type="dxa"/>
            <w:tcBorders>
              <w:top w:val="nil"/>
              <w:left w:val="single" w:color="000000" w:sz="4" w:space="0"/>
              <w:bottom w:val="single" w:color="000000" w:sz="4" w:space="0"/>
              <w:right w:val="single" w:color="000000" w:sz="4" w:space="0"/>
            </w:tcBorders>
          </w:tcPr>
          <w:p w14:paraId="20550B25">
            <w:pPr>
              <w:jc w:val="center"/>
              <w:rPr>
                <w:rFonts w:ascii="宋体" w:hAnsi="宋体" w:eastAsia="宋体"/>
              </w:rPr>
            </w:pPr>
            <w:r>
              <w:rPr>
                <w:rFonts w:ascii="宋体" w:hAnsi="宋体" w:eastAsia="宋体"/>
                <w:sz w:val="24"/>
              </w:rPr>
              <w:t>17</w:t>
            </w:r>
          </w:p>
        </w:tc>
        <w:tc>
          <w:tcPr>
            <w:tcW w:w="3043" w:type="dxa"/>
            <w:tcBorders>
              <w:top w:val="nil"/>
              <w:left w:val="single" w:color="000000" w:sz="4" w:space="0"/>
              <w:bottom w:val="single" w:color="000000" w:sz="4" w:space="0"/>
              <w:right w:val="single" w:color="000000" w:sz="4" w:space="0"/>
            </w:tcBorders>
          </w:tcPr>
          <w:p w14:paraId="6D810DD6">
            <w:pPr>
              <w:jc w:val="center"/>
              <w:rPr>
                <w:rFonts w:ascii="宋体" w:hAnsi="宋体" w:eastAsia="宋体"/>
              </w:rPr>
            </w:pPr>
            <w:r>
              <w:rPr>
                <w:rFonts w:ascii="宋体" w:hAnsi="宋体" w:eastAsia="宋体"/>
                <w:sz w:val="24"/>
              </w:rPr>
              <w:t>良好落实反事故措施与安全技术措施计划并上报完成、延期、变动情况</w:t>
            </w:r>
          </w:p>
        </w:tc>
        <w:tc>
          <w:tcPr>
            <w:tcW w:w="1351" w:type="dxa"/>
            <w:tcBorders>
              <w:top w:val="nil"/>
              <w:left w:val="single" w:color="000000" w:sz="4" w:space="0"/>
              <w:bottom w:val="single" w:color="000000" w:sz="4" w:space="0"/>
              <w:right w:val="single" w:color="000000" w:sz="4" w:space="0"/>
            </w:tcBorders>
          </w:tcPr>
          <w:p w14:paraId="7CB6E50C">
            <w:pPr>
              <w:jc w:val="center"/>
              <w:rPr>
                <w:rFonts w:ascii="宋体" w:hAnsi="宋体" w:eastAsia="宋体"/>
              </w:rPr>
            </w:pPr>
            <w:r>
              <w:rPr>
                <w:rFonts w:ascii="宋体" w:hAnsi="宋体" w:eastAsia="宋体"/>
                <w:sz w:val="24"/>
              </w:rPr>
              <w:t>未良好落实两措计划或上报情况</w:t>
            </w:r>
          </w:p>
        </w:tc>
        <w:tc>
          <w:tcPr>
            <w:tcW w:w="810" w:type="dxa"/>
            <w:tcBorders>
              <w:top w:val="nil"/>
              <w:left w:val="single" w:color="000000" w:sz="4" w:space="0"/>
              <w:bottom w:val="single" w:color="000000" w:sz="4" w:space="0"/>
              <w:right w:val="single" w:color="000000" w:sz="4" w:space="0"/>
            </w:tcBorders>
          </w:tcPr>
          <w:p w14:paraId="389215B1">
            <w:pPr>
              <w:jc w:val="center"/>
              <w:rPr>
                <w:rFonts w:ascii="宋体" w:hAnsi="宋体" w:eastAsia="宋体"/>
              </w:rPr>
            </w:pPr>
            <w:r>
              <w:rPr>
                <w:rFonts w:ascii="宋体" w:hAnsi="宋体" w:eastAsia="宋体"/>
                <w:sz w:val="24"/>
              </w:rPr>
              <w:t>扣1分</w:t>
            </w:r>
          </w:p>
        </w:tc>
      </w:tr>
      <w:tr w14:paraId="00343C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restart"/>
            <w:tcBorders>
              <w:top w:val="nil"/>
              <w:left w:val="single" w:color="000000" w:sz="4" w:space="0"/>
              <w:bottom w:val="single" w:color="000000" w:sz="4" w:space="0"/>
              <w:right w:val="single" w:color="000000" w:sz="4" w:space="0"/>
            </w:tcBorders>
          </w:tcPr>
          <w:p w14:paraId="6F7C62E6">
            <w:pPr>
              <w:jc w:val="center"/>
              <w:rPr>
                <w:rFonts w:ascii="宋体" w:hAnsi="宋体" w:eastAsia="宋体"/>
              </w:rPr>
            </w:pPr>
            <w:r>
              <w:rPr>
                <w:rFonts w:ascii="宋体" w:hAnsi="宋体" w:eastAsia="宋体"/>
                <w:sz w:val="24"/>
              </w:rPr>
              <w:t>三</w:t>
            </w:r>
            <w:r>
              <w:rPr>
                <w:rFonts w:ascii="宋体" w:hAnsi="宋体" w:eastAsia="宋体"/>
              </w:rPr>
              <w:br w:type="textWrapping"/>
            </w:r>
            <w:r>
              <w:rPr>
                <w:rFonts w:ascii="宋体" w:hAnsi="宋体" w:eastAsia="宋体"/>
              </w:rPr>
              <w:br w:type="textWrapping"/>
            </w:r>
            <w:r>
              <w:rPr>
                <w:rFonts w:ascii="宋体" w:hAnsi="宋体" w:eastAsia="宋体"/>
                <w:sz w:val="24"/>
              </w:rPr>
              <w:t>运管工作监管</w:t>
            </w:r>
          </w:p>
          <w:p w14:paraId="78FFC25C">
            <w:pPr>
              <w:jc w:val="center"/>
              <w:rPr>
                <w:rFonts w:ascii="宋体" w:hAnsi="宋体" w:eastAsia="宋体"/>
              </w:rPr>
            </w:pPr>
            <w:r>
              <w:rPr>
                <w:rFonts w:ascii="宋体" w:hAnsi="宋体" w:eastAsia="宋体"/>
                <w:sz w:val="24"/>
              </w:rPr>
              <w:t>60分</w:t>
            </w:r>
          </w:p>
        </w:tc>
        <w:tc>
          <w:tcPr>
            <w:tcW w:w="369" w:type="dxa"/>
            <w:vMerge w:val="restart"/>
            <w:tcBorders>
              <w:top w:val="nil"/>
              <w:left w:val="single" w:color="000000" w:sz="4" w:space="0"/>
              <w:bottom w:val="single" w:color="000000" w:sz="4" w:space="0"/>
              <w:right w:val="single" w:color="000000" w:sz="4" w:space="0"/>
            </w:tcBorders>
          </w:tcPr>
          <w:p w14:paraId="168B15C2">
            <w:pPr>
              <w:jc w:val="center"/>
              <w:rPr>
                <w:rFonts w:ascii="宋体" w:hAnsi="宋体" w:eastAsia="宋体"/>
              </w:rPr>
            </w:pPr>
            <w:r>
              <w:rPr>
                <w:rFonts w:ascii="宋体" w:hAnsi="宋体" w:eastAsia="宋体"/>
                <w:sz w:val="24"/>
              </w:rPr>
              <w:t>7</w:t>
            </w:r>
          </w:p>
        </w:tc>
        <w:tc>
          <w:tcPr>
            <w:tcW w:w="1422" w:type="dxa"/>
            <w:vMerge w:val="restart"/>
            <w:tcBorders>
              <w:top w:val="nil"/>
              <w:left w:val="single" w:color="000000" w:sz="4" w:space="0"/>
              <w:bottom w:val="single" w:color="000000" w:sz="4" w:space="0"/>
              <w:right w:val="single" w:color="000000" w:sz="4" w:space="0"/>
            </w:tcBorders>
          </w:tcPr>
          <w:p w14:paraId="153831A1">
            <w:pPr>
              <w:jc w:val="center"/>
              <w:rPr>
                <w:rFonts w:ascii="宋体" w:hAnsi="宋体" w:eastAsia="宋体"/>
              </w:rPr>
            </w:pPr>
            <w:r>
              <w:rPr>
                <w:rFonts w:ascii="宋体" w:hAnsi="宋体" w:eastAsia="宋体"/>
                <w:sz w:val="24"/>
              </w:rPr>
              <w:t>安全管理</w:t>
            </w:r>
          </w:p>
        </w:tc>
        <w:tc>
          <w:tcPr>
            <w:tcW w:w="426" w:type="dxa"/>
            <w:tcBorders>
              <w:top w:val="nil"/>
              <w:left w:val="single" w:color="000000" w:sz="4" w:space="0"/>
              <w:bottom w:val="single" w:color="000000" w:sz="4" w:space="0"/>
              <w:right w:val="single" w:color="000000" w:sz="4" w:space="0"/>
            </w:tcBorders>
          </w:tcPr>
          <w:p w14:paraId="3E89D010">
            <w:pPr>
              <w:jc w:val="center"/>
              <w:rPr>
                <w:rFonts w:ascii="宋体" w:hAnsi="宋体" w:eastAsia="宋体"/>
              </w:rPr>
            </w:pPr>
            <w:r>
              <w:rPr>
                <w:rFonts w:ascii="宋体" w:hAnsi="宋体" w:eastAsia="宋体"/>
                <w:sz w:val="24"/>
              </w:rPr>
              <w:t>18</w:t>
            </w:r>
          </w:p>
        </w:tc>
        <w:tc>
          <w:tcPr>
            <w:tcW w:w="3043" w:type="dxa"/>
            <w:tcBorders>
              <w:top w:val="nil"/>
              <w:left w:val="single" w:color="000000" w:sz="4" w:space="0"/>
              <w:bottom w:val="single" w:color="000000" w:sz="4" w:space="0"/>
              <w:right w:val="single" w:color="000000" w:sz="4" w:space="0"/>
            </w:tcBorders>
          </w:tcPr>
          <w:p w14:paraId="47B0655F">
            <w:pPr>
              <w:jc w:val="center"/>
              <w:rPr>
                <w:rFonts w:ascii="宋体" w:hAnsi="宋体" w:eastAsia="宋体"/>
              </w:rPr>
            </w:pPr>
            <w:r>
              <w:rPr>
                <w:rFonts w:ascii="宋体" w:hAnsi="宋体" w:eastAsia="宋体"/>
                <w:sz w:val="24"/>
              </w:rPr>
              <w:t>严格执行安全工作规程、运行操作规程等制度</w:t>
            </w:r>
          </w:p>
        </w:tc>
        <w:tc>
          <w:tcPr>
            <w:tcW w:w="1351" w:type="dxa"/>
            <w:tcBorders>
              <w:top w:val="nil"/>
              <w:left w:val="single" w:color="000000" w:sz="4" w:space="0"/>
              <w:bottom w:val="single" w:color="000000" w:sz="4" w:space="0"/>
              <w:right w:val="single" w:color="000000" w:sz="4" w:space="0"/>
            </w:tcBorders>
          </w:tcPr>
          <w:p w14:paraId="33DAD03F">
            <w:pPr>
              <w:jc w:val="center"/>
              <w:rPr>
                <w:rFonts w:ascii="宋体" w:hAnsi="宋体" w:eastAsia="宋体"/>
              </w:rPr>
            </w:pPr>
            <w:r>
              <w:rPr>
                <w:rFonts w:ascii="宋体" w:hAnsi="宋体" w:eastAsia="宋体"/>
                <w:sz w:val="24"/>
              </w:rPr>
              <w:t>发现安规、运规等制度落实情况不良</w:t>
            </w:r>
          </w:p>
        </w:tc>
        <w:tc>
          <w:tcPr>
            <w:tcW w:w="810" w:type="dxa"/>
            <w:tcBorders>
              <w:top w:val="nil"/>
              <w:left w:val="single" w:color="000000" w:sz="4" w:space="0"/>
              <w:bottom w:val="single" w:color="000000" w:sz="4" w:space="0"/>
              <w:right w:val="single" w:color="000000" w:sz="4" w:space="0"/>
            </w:tcBorders>
          </w:tcPr>
          <w:p w14:paraId="14E924DE">
            <w:pPr>
              <w:jc w:val="center"/>
              <w:rPr>
                <w:rFonts w:ascii="宋体" w:hAnsi="宋体" w:eastAsia="宋体"/>
              </w:rPr>
            </w:pPr>
            <w:r>
              <w:rPr>
                <w:rFonts w:ascii="宋体" w:hAnsi="宋体" w:eastAsia="宋体"/>
                <w:sz w:val="24"/>
              </w:rPr>
              <w:t>每次</w:t>
            </w:r>
          </w:p>
          <w:p w14:paraId="60CCBC3A">
            <w:pPr>
              <w:jc w:val="center"/>
              <w:rPr>
                <w:rFonts w:ascii="宋体" w:hAnsi="宋体" w:eastAsia="宋体"/>
              </w:rPr>
            </w:pPr>
            <w:r>
              <w:rPr>
                <w:rFonts w:ascii="宋体" w:hAnsi="宋体" w:eastAsia="宋体"/>
                <w:sz w:val="24"/>
              </w:rPr>
              <w:t>扣1分</w:t>
            </w:r>
          </w:p>
        </w:tc>
      </w:tr>
      <w:tr w14:paraId="634DB9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B81FDBC">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4EF90399">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520C7BF2">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238772AD">
            <w:pPr>
              <w:jc w:val="center"/>
              <w:rPr>
                <w:rFonts w:ascii="宋体" w:hAnsi="宋体" w:eastAsia="宋体"/>
              </w:rPr>
            </w:pPr>
            <w:r>
              <w:rPr>
                <w:rFonts w:ascii="宋体" w:hAnsi="宋体" w:eastAsia="宋体"/>
                <w:sz w:val="24"/>
              </w:rPr>
              <w:t>19</w:t>
            </w:r>
          </w:p>
        </w:tc>
        <w:tc>
          <w:tcPr>
            <w:tcW w:w="3043" w:type="dxa"/>
            <w:tcBorders>
              <w:top w:val="nil"/>
              <w:left w:val="single" w:color="000000" w:sz="4" w:space="0"/>
              <w:bottom w:val="single" w:color="000000" w:sz="4" w:space="0"/>
              <w:right w:val="single" w:color="000000" w:sz="4" w:space="0"/>
            </w:tcBorders>
          </w:tcPr>
          <w:p w14:paraId="356D607D">
            <w:pPr>
              <w:jc w:val="center"/>
              <w:rPr>
                <w:rFonts w:ascii="宋体" w:hAnsi="宋体" w:eastAsia="宋体"/>
              </w:rPr>
            </w:pPr>
            <w:r>
              <w:rPr>
                <w:rFonts w:hint="eastAsia" w:ascii="宋体" w:hAnsi="宋体" w:eastAsia="宋体"/>
                <w:sz w:val="24"/>
              </w:rPr>
              <w:t>运输（含装车、运输、卸车等）环保要求</w:t>
            </w:r>
          </w:p>
        </w:tc>
        <w:tc>
          <w:tcPr>
            <w:tcW w:w="1351" w:type="dxa"/>
            <w:tcBorders>
              <w:top w:val="nil"/>
              <w:left w:val="single" w:color="000000" w:sz="4" w:space="0"/>
              <w:bottom w:val="single" w:color="000000" w:sz="4" w:space="0"/>
              <w:right w:val="single" w:color="000000" w:sz="4" w:space="0"/>
            </w:tcBorders>
          </w:tcPr>
          <w:p w14:paraId="4AEEECD3">
            <w:pPr>
              <w:jc w:val="center"/>
              <w:rPr>
                <w:rFonts w:ascii="宋体" w:hAnsi="宋体" w:eastAsia="宋体"/>
              </w:rPr>
            </w:pPr>
            <w:r>
              <w:rPr>
                <w:rFonts w:ascii="宋体" w:hAnsi="宋体" w:eastAsia="宋体"/>
                <w:sz w:val="24"/>
              </w:rPr>
              <w:t>未良好执行相关制度</w:t>
            </w:r>
          </w:p>
        </w:tc>
        <w:tc>
          <w:tcPr>
            <w:tcW w:w="810" w:type="dxa"/>
            <w:tcBorders>
              <w:top w:val="nil"/>
              <w:left w:val="single" w:color="000000" w:sz="4" w:space="0"/>
              <w:bottom w:val="single" w:color="000000" w:sz="4" w:space="0"/>
              <w:right w:val="single" w:color="000000" w:sz="4" w:space="0"/>
            </w:tcBorders>
          </w:tcPr>
          <w:p w14:paraId="1797A226">
            <w:pPr>
              <w:jc w:val="center"/>
              <w:rPr>
                <w:rFonts w:ascii="宋体" w:hAnsi="宋体" w:eastAsia="宋体"/>
              </w:rPr>
            </w:pPr>
            <w:r>
              <w:rPr>
                <w:rFonts w:ascii="宋体" w:hAnsi="宋体" w:eastAsia="宋体"/>
                <w:sz w:val="24"/>
              </w:rPr>
              <w:t>每次</w:t>
            </w:r>
          </w:p>
          <w:p w14:paraId="37216F22">
            <w:pPr>
              <w:jc w:val="center"/>
              <w:rPr>
                <w:rFonts w:ascii="宋体" w:hAnsi="宋体" w:eastAsia="宋体"/>
              </w:rPr>
            </w:pPr>
            <w:r>
              <w:rPr>
                <w:rFonts w:ascii="宋体" w:hAnsi="宋体" w:eastAsia="宋体"/>
                <w:sz w:val="24"/>
              </w:rPr>
              <w:t>扣1分</w:t>
            </w:r>
          </w:p>
        </w:tc>
      </w:tr>
      <w:tr w14:paraId="5C3236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1FE9472C">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21CD76E">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330530A0">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02606DD9">
            <w:pPr>
              <w:jc w:val="center"/>
              <w:rPr>
                <w:rFonts w:ascii="宋体" w:hAnsi="宋体" w:eastAsia="宋体"/>
              </w:rPr>
            </w:pPr>
            <w:r>
              <w:rPr>
                <w:rFonts w:ascii="宋体" w:hAnsi="宋体" w:eastAsia="宋体"/>
                <w:sz w:val="24"/>
              </w:rPr>
              <w:t>20</w:t>
            </w:r>
          </w:p>
        </w:tc>
        <w:tc>
          <w:tcPr>
            <w:tcW w:w="3043" w:type="dxa"/>
            <w:tcBorders>
              <w:top w:val="nil"/>
              <w:left w:val="single" w:color="000000" w:sz="4" w:space="0"/>
              <w:bottom w:val="single" w:color="000000" w:sz="4" w:space="0"/>
              <w:right w:val="single" w:color="000000" w:sz="4" w:space="0"/>
            </w:tcBorders>
          </w:tcPr>
          <w:p w14:paraId="3D5A4633">
            <w:pPr>
              <w:jc w:val="center"/>
              <w:rPr>
                <w:rFonts w:ascii="宋体" w:hAnsi="宋体" w:eastAsia="宋体"/>
              </w:rPr>
            </w:pPr>
            <w:r>
              <w:rPr>
                <w:rFonts w:ascii="宋体" w:hAnsi="宋体" w:eastAsia="宋体"/>
                <w:sz w:val="24"/>
              </w:rPr>
              <w:t>发生重大设备故障、安全事故、环保事件应立即上报</w:t>
            </w:r>
          </w:p>
        </w:tc>
        <w:tc>
          <w:tcPr>
            <w:tcW w:w="1351" w:type="dxa"/>
            <w:tcBorders>
              <w:top w:val="nil"/>
              <w:left w:val="single" w:color="000000" w:sz="4" w:space="0"/>
              <w:bottom w:val="single" w:color="000000" w:sz="4" w:space="0"/>
              <w:right w:val="single" w:color="000000" w:sz="4" w:space="0"/>
            </w:tcBorders>
          </w:tcPr>
          <w:p w14:paraId="7E0C5DC9">
            <w:pPr>
              <w:jc w:val="center"/>
              <w:rPr>
                <w:rFonts w:ascii="宋体" w:hAnsi="宋体" w:eastAsia="宋体"/>
              </w:rPr>
            </w:pPr>
            <w:r>
              <w:rPr>
                <w:rFonts w:ascii="宋体" w:hAnsi="宋体" w:eastAsia="宋体"/>
                <w:sz w:val="24"/>
              </w:rPr>
              <w:t>1小时内未上报</w:t>
            </w:r>
          </w:p>
        </w:tc>
        <w:tc>
          <w:tcPr>
            <w:tcW w:w="810" w:type="dxa"/>
            <w:tcBorders>
              <w:top w:val="nil"/>
              <w:left w:val="single" w:color="000000" w:sz="4" w:space="0"/>
              <w:bottom w:val="single" w:color="000000" w:sz="4" w:space="0"/>
              <w:right w:val="single" w:color="000000" w:sz="4" w:space="0"/>
            </w:tcBorders>
          </w:tcPr>
          <w:p w14:paraId="7608C0C6">
            <w:pPr>
              <w:jc w:val="center"/>
              <w:rPr>
                <w:rFonts w:ascii="宋体" w:hAnsi="宋体" w:eastAsia="宋体"/>
              </w:rPr>
            </w:pPr>
            <w:r>
              <w:rPr>
                <w:rFonts w:ascii="宋体" w:hAnsi="宋体" w:eastAsia="宋体"/>
                <w:sz w:val="24"/>
              </w:rPr>
              <w:t>每次扣2分</w:t>
            </w:r>
          </w:p>
        </w:tc>
      </w:tr>
      <w:tr w14:paraId="0AF83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9AC3214">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02C88AAA">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3F1B9A8D">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7868176B">
            <w:pPr>
              <w:jc w:val="center"/>
              <w:rPr>
                <w:rFonts w:ascii="宋体" w:hAnsi="宋体" w:eastAsia="宋体"/>
              </w:rPr>
            </w:pPr>
            <w:r>
              <w:rPr>
                <w:rFonts w:ascii="宋体" w:hAnsi="宋体" w:eastAsia="宋体"/>
                <w:sz w:val="24"/>
              </w:rPr>
              <w:t>21</w:t>
            </w:r>
          </w:p>
        </w:tc>
        <w:tc>
          <w:tcPr>
            <w:tcW w:w="3043" w:type="dxa"/>
            <w:tcBorders>
              <w:top w:val="nil"/>
              <w:left w:val="single" w:color="000000" w:sz="4" w:space="0"/>
              <w:bottom w:val="single" w:color="000000" w:sz="4" w:space="0"/>
              <w:right w:val="single" w:color="000000" w:sz="4" w:space="0"/>
            </w:tcBorders>
          </w:tcPr>
          <w:p w14:paraId="02FE122A">
            <w:pPr>
              <w:jc w:val="center"/>
              <w:rPr>
                <w:rFonts w:ascii="宋体" w:hAnsi="宋体" w:eastAsia="宋体"/>
              </w:rPr>
            </w:pPr>
            <w:r>
              <w:rPr>
                <w:rFonts w:ascii="宋体" w:hAnsi="宋体" w:eastAsia="宋体"/>
                <w:sz w:val="24"/>
              </w:rPr>
              <w:t>全力优化运营，保障安全零事故与环保零事件</w:t>
            </w:r>
          </w:p>
        </w:tc>
        <w:tc>
          <w:tcPr>
            <w:tcW w:w="1351" w:type="dxa"/>
            <w:tcBorders>
              <w:top w:val="nil"/>
              <w:left w:val="single" w:color="000000" w:sz="4" w:space="0"/>
              <w:bottom w:val="single" w:color="000000" w:sz="4" w:space="0"/>
              <w:right w:val="single" w:color="000000" w:sz="4" w:space="0"/>
            </w:tcBorders>
          </w:tcPr>
          <w:p w14:paraId="3A034D9E">
            <w:pPr>
              <w:jc w:val="center"/>
              <w:rPr>
                <w:rFonts w:ascii="宋体" w:hAnsi="宋体" w:eastAsia="宋体"/>
              </w:rPr>
            </w:pPr>
            <w:r>
              <w:rPr>
                <w:rFonts w:ascii="宋体" w:hAnsi="宋体" w:eastAsia="宋体"/>
                <w:sz w:val="24"/>
              </w:rPr>
              <w:t>发生运营方主责的安全事故或环保事件</w:t>
            </w:r>
          </w:p>
        </w:tc>
        <w:tc>
          <w:tcPr>
            <w:tcW w:w="810" w:type="dxa"/>
            <w:tcBorders>
              <w:top w:val="nil"/>
              <w:left w:val="single" w:color="000000" w:sz="4" w:space="0"/>
              <w:bottom w:val="single" w:color="000000" w:sz="4" w:space="0"/>
              <w:right w:val="single" w:color="000000" w:sz="4" w:space="0"/>
            </w:tcBorders>
          </w:tcPr>
          <w:p w14:paraId="6DD1B092">
            <w:pPr>
              <w:jc w:val="center"/>
              <w:rPr>
                <w:rFonts w:ascii="宋体" w:hAnsi="宋体" w:eastAsia="宋体"/>
              </w:rPr>
            </w:pPr>
            <w:r>
              <w:rPr>
                <w:rFonts w:ascii="宋体" w:hAnsi="宋体" w:eastAsia="宋体"/>
                <w:sz w:val="24"/>
              </w:rPr>
              <w:t>扣10分</w:t>
            </w:r>
          </w:p>
        </w:tc>
      </w:tr>
      <w:tr w14:paraId="563A3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6E73512F">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7CFD310C">
            <w:pPr>
              <w:jc w:val="center"/>
              <w:rPr>
                <w:rFonts w:ascii="宋体" w:hAnsi="宋体" w:eastAsia="宋体"/>
              </w:rPr>
            </w:pPr>
            <w:r>
              <w:rPr>
                <w:rFonts w:ascii="宋体" w:hAnsi="宋体" w:eastAsia="宋体"/>
                <w:sz w:val="24"/>
              </w:rPr>
              <w:t>8</w:t>
            </w:r>
          </w:p>
        </w:tc>
        <w:tc>
          <w:tcPr>
            <w:tcW w:w="1422" w:type="dxa"/>
            <w:vMerge w:val="restart"/>
            <w:tcBorders>
              <w:top w:val="nil"/>
              <w:left w:val="single" w:color="000000" w:sz="4" w:space="0"/>
              <w:bottom w:val="single" w:color="000000" w:sz="4" w:space="0"/>
              <w:right w:val="single" w:color="000000" w:sz="4" w:space="0"/>
            </w:tcBorders>
          </w:tcPr>
          <w:p w14:paraId="14BDB413">
            <w:pPr>
              <w:jc w:val="center"/>
              <w:rPr>
                <w:rFonts w:ascii="宋体" w:hAnsi="宋体" w:eastAsia="宋体"/>
              </w:rPr>
            </w:pPr>
            <w:r>
              <w:rPr>
                <w:rFonts w:ascii="宋体" w:hAnsi="宋体" w:eastAsia="宋体"/>
                <w:sz w:val="24"/>
              </w:rPr>
              <w:t>入场管理</w:t>
            </w:r>
          </w:p>
        </w:tc>
        <w:tc>
          <w:tcPr>
            <w:tcW w:w="426" w:type="dxa"/>
            <w:tcBorders>
              <w:top w:val="nil"/>
              <w:left w:val="single" w:color="000000" w:sz="4" w:space="0"/>
              <w:bottom w:val="single" w:color="000000" w:sz="4" w:space="0"/>
              <w:right w:val="single" w:color="000000" w:sz="4" w:space="0"/>
            </w:tcBorders>
          </w:tcPr>
          <w:p w14:paraId="57E623E3">
            <w:pPr>
              <w:jc w:val="center"/>
              <w:rPr>
                <w:rFonts w:ascii="宋体" w:hAnsi="宋体" w:eastAsia="宋体"/>
              </w:rPr>
            </w:pPr>
            <w:r>
              <w:rPr>
                <w:rFonts w:ascii="宋体" w:hAnsi="宋体" w:eastAsia="宋体"/>
                <w:sz w:val="24"/>
              </w:rPr>
              <w:t>22</w:t>
            </w:r>
          </w:p>
        </w:tc>
        <w:tc>
          <w:tcPr>
            <w:tcW w:w="3043" w:type="dxa"/>
            <w:tcBorders>
              <w:top w:val="nil"/>
              <w:left w:val="single" w:color="000000" w:sz="4" w:space="0"/>
              <w:bottom w:val="single" w:color="000000" w:sz="4" w:space="0"/>
              <w:right w:val="single" w:color="000000" w:sz="4" w:space="0"/>
            </w:tcBorders>
          </w:tcPr>
          <w:p w14:paraId="45EB6BC6">
            <w:pPr>
              <w:jc w:val="center"/>
              <w:rPr>
                <w:rFonts w:ascii="宋体" w:hAnsi="宋体" w:eastAsia="宋体"/>
              </w:rPr>
            </w:pPr>
            <w:r>
              <w:rPr>
                <w:rFonts w:ascii="宋体" w:hAnsi="宋体" w:eastAsia="宋体"/>
                <w:sz w:val="24"/>
              </w:rPr>
              <w:t>运输通道、卸料平台和填埋专区照明监控、警示标识、防护设施、指示牌、除臭设施等完善良好，现场作业人员劳防良好，车辆管理安全有序</w:t>
            </w:r>
          </w:p>
        </w:tc>
        <w:tc>
          <w:tcPr>
            <w:tcW w:w="1351" w:type="dxa"/>
            <w:tcBorders>
              <w:top w:val="nil"/>
              <w:left w:val="single" w:color="000000" w:sz="4" w:space="0"/>
              <w:bottom w:val="single" w:color="000000" w:sz="4" w:space="0"/>
              <w:right w:val="single" w:color="000000" w:sz="4" w:space="0"/>
            </w:tcBorders>
          </w:tcPr>
          <w:p w14:paraId="0B14704B">
            <w:pPr>
              <w:jc w:val="center"/>
              <w:rPr>
                <w:rFonts w:ascii="宋体" w:hAnsi="宋体" w:eastAsia="宋体"/>
              </w:rPr>
            </w:pPr>
            <w:r>
              <w:rPr>
                <w:rFonts w:ascii="宋体" w:hAnsi="宋体" w:eastAsia="宋体"/>
                <w:sz w:val="24"/>
              </w:rPr>
              <w:t>人员、车辆及设施等管理情况不良</w:t>
            </w:r>
          </w:p>
        </w:tc>
        <w:tc>
          <w:tcPr>
            <w:tcW w:w="810" w:type="dxa"/>
            <w:tcBorders>
              <w:top w:val="nil"/>
              <w:left w:val="single" w:color="000000" w:sz="4" w:space="0"/>
              <w:bottom w:val="single" w:color="000000" w:sz="4" w:space="0"/>
              <w:right w:val="single" w:color="000000" w:sz="4" w:space="0"/>
            </w:tcBorders>
          </w:tcPr>
          <w:p w14:paraId="717356E0">
            <w:pPr>
              <w:jc w:val="center"/>
              <w:rPr>
                <w:rFonts w:ascii="宋体" w:hAnsi="宋体" w:eastAsia="宋体"/>
              </w:rPr>
            </w:pPr>
            <w:r>
              <w:rPr>
                <w:rFonts w:ascii="宋体" w:hAnsi="宋体" w:eastAsia="宋体"/>
                <w:sz w:val="24"/>
              </w:rPr>
              <w:t>每次</w:t>
            </w:r>
          </w:p>
          <w:p w14:paraId="4985AC4F">
            <w:pPr>
              <w:jc w:val="center"/>
              <w:rPr>
                <w:rFonts w:ascii="宋体" w:hAnsi="宋体" w:eastAsia="宋体"/>
              </w:rPr>
            </w:pPr>
            <w:r>
              <w:rPr>
                <w:rFonts w:ascii="宋体" w:hAnsi="宋体" w:eastAsia="宋体"/>
                <w:sz w:val="24"/>
              </w:rPr>
              <w:t>扣0.5分</w:t>
            </w:r>
          </w:p>
        </w:tc>
      </w:tr>
      <w:tr w14:paraId="258DDD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4E0F1CA2">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625A1E0">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3BACB11D">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243827DE">
            <w:pPr>
              <w:jc w:val="center"/>
              <w:rPr>
                <w:rFonts w:ascii="宋体" w:hAnsi="宋体" w:eastAsia="宋体"/>
              </w:rPr>
            </w:pPr>
            <w:r>
              <w:rPr>
                <w:rFonts w:ascii="宋体" w:hAnsi="宋体" w:eastAsia="宋体"/>
                <w:sz w:val="24"/>
              </w:rPr>
              <w:t>23</w:t>
            </w:r>
          </w:p>
        </w:tc>
        <w:tc>
          <w:tcPr>
            <w:tcW w:w="3043" w:type="dxa"/>
            <w:tcBorders>
              <w:top w:val="nil"/>
              <w:left w:val="single" w:color="000000" w:sz="4" w:space="0"/>
              <w:bottom w:val="single" w:color="000000" w:sz="4" w:space="0"/>
              <w:right w:val="single" w:color="000000" w:sz="4" w:space="0"/>
            </w:tcBorders>
          </w:tcPr>
          <w:p w14:paraId="5E2AF286">
            <w:pPr>
              <w:jc w:val="center"/>
              <w:rPr>
                <w:rFonts w:ascii="宋体" w:hAnsi="宋体" w:eastAsia="宋体"/>
              </w:rPr>
            </w:pPr>
            <w:r>
              <w:rPr>
                <w:rFonts w:ascii="宋体" w:hAnsi="宋体" w:eastAsia="宋体"/>
                <w:sz w:val="24"/>
              </w:rPr>
              <w:t>运营方应拒绝未经批准的运输车辆进场</w:t>
            </w:r>
          </w:p>
        </w:tc>
        <w:tc>
          <w:tcPr>
            <w:tcW w:w="1351" w:type="dxa"/>
            <w:tcBorders>
              <w:top w:val="nil"/>
              <w:left w:val="single" w:color="000000" w:sz="4" w:space="0"/>
              <w:bottom w:val="single" w:color="000000" w:sz="4" w:space="0"/>
              <w:right w:val="single" w:color="000000" w:sz="4" w:space="0"/>
            </w:tcBorders>
          </w:tcPr>
          <w:p w14:paraId="194908F0">
            <w:pPr>
              <w:jc w:val="center"/>
              <w:rPr>
                <w:rFonts w:ascii="宋体" w:hAnsi="宋体" w:eastAsia="宋体"/>
              </w:rPr>
            </w:pPr>
            <w:r>
              <w:rPr>
                <w:rFonts w:ascii="宋体" w:hAnsi="宋体" w:eastAsia="宋体"/>
                <w:sz w:val="24"/>
              </w:rPr>
              <w:t>私自让未经批准的运输车辆进场</w:t>
            </w:r>
          </w:p>
        </w:tc>
        <w:tc>
          <w:tcPr>
            <w:tcW w:w="810" w:type="dxa"/>
            <w:tcBorders>
              <w:top w:val="nil"/>
              <w:left w:val="single" w:color="000000" w:sz="4" w:space="0"/>
              <w:bottom w:val="single" w:color="000000" w:sz="4" w:space="0"/>
              <w:right w:val="single" w:color="000000" w:sz="4" w:space="0"/>
            </w:tcBorders>
          </w:tcPr>
          <w:p w14:paraId="3A1342AF">
            <w:pPr>
              <w:jc w:val="center"/>
              <w:rPr>
                <w:rFonts w:ascii="宋体" w:hAnsi="宋体" w:eastAsia="宋体"/>
              </w:rPr>
            </w:pPr>
            <w:r>
              <w:rPr>
                <w:rFonts w:ascii="宋体" w:hAnsi="宋体" w:eastAsia="宋体"/>
                <w:sz w:val="24"/>
              </w:rPr>
              <w:t>每次</w:t>
            </w:r>
          </w:p>
          <w:p w14:paraId="4CD91514">
            <w:pPr>
              <w:jc w:val="center"/>
              <w:rPr>
                <w:rFonts w:ascii="宋体" w:hAnsi="宋体" w:eastAsia="宋体"/>
              </w:rPr>
            </w:pPr>
            <w:r>
              <w:rPr>
                <w:rFonts w:ascii="宋体" w:hAnsi="宋体" w:eastAsia="宋体"/>
                <w:sz w:val="24"/>
              </w:rPr>
              <w:t>扣1分</w:t>
            </w:r>
          </w:p>
        </w:tc>
      </w:tr>
      <w:tr w14:paraId="478D85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72D63FCD">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2C16DF79">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6086C7A8">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53177E62">
            <w:pPr>
              <w:jc w:val="center"/>
              <w:rPr>
                <w:rFonts w:ascii="宋体" w:hAnsi="宋体" w:eastAsia="宋体"/>
              </w:rPr>
            </w:pPr>
            <w:r>
              <w:rPr>
                <w:rFonts w:ascii="宋体" w:hAnsi="宋体" w:eastAsia="宋体"/>
                <w:sz w:val="24"/>
              </w:rPr>
              <w:t>24</w:t>
            </w:r>
          </w:p>
        </w:tc>
        <w:tc>
          <w:tcPr>
            <w:tcW w:w="3043" w:type="dxa"/>
            <w:tcBorders>
              <w:top w:val="nil"/>
              <w:left w:val="single" w:color="000000" w:sz="4" w:space="0"/>
              <w:bottom w:val="single" w:color="000000" w:sz="4" w:space="0"/>
              <w:right w:val="single" w:color="000000" w:sz="4" w:space="0"/>
            </w:tcBorders>
          </w:tcPr>
          <w:p w14:paraId="0DAB21EE">
            <w:pPr>
              <w:jc w:val="center"/>
              <w:rPr>
                <w:rFonts w:ascii="宋体" w:hAnsi="宋体" w:eastAsia="宋体"/>
              </w:rPr>
            </w:pPr>
            <w:r>
              <w:rPr>
                <w:rFonts w:ascii="宋体" w:hAnsi="宋体" w:eastAsia="宋体"/>
                <w:sz w:val="24"/>
              </w:rPr>
              <w:t>禁止接收未经政府方批准的物料</w:t>
            </w:r>
          </w:p>
        </w:tc>
        <w:tc>
          <w:tcPr>
            <w:tcW w:w="1351" w:type="dxa"/>
            <w:tcBorders>
              <w:top w:val="nil"/>
              <w:left w:val="single" w:color="000000" w:sz="4" w:space="0"/>
              <w:bottom w:val="single" w:color="000000" w:sz="4" w:space="0"/>
              <w:right w:val="single" w:color="000000" w:sz="4" w:space="0"/>
            </w:tcBorders>
          </w:tcPr>
          <w:p w14:paraId="2B114351">
            <w:pPr>
              <w:jc w:val="center"/>
              <w:rPr>
                <w:rFonts w:ascii="宋体" w:hAnsi="宋体" w:eastAsia="宋体"/>
              </w:rPr>
            </w:pPr>
            <w:r>
              <w:rPr>
                <w:rFonts w:ascii="宋体" w:hAnsi="宋体" w:eastAsia="宋体"/>
                <w:sz w:val="24"/>
              </w:rPr>
              <w:t>违规接收，责令移出场区</w:t>
            </w:r>
          </w:p>
        </w:tc>
        <w:tc>
          <w:tcPr>
            <w:tcW w:w="810" w:type="dxa"/>
            <w:tcBorders>
              <w:top w:val="nil"/>
              <w:left w:val="single" w:color="000000" w:sz="4" w:space="0"/>
              <w:bottom w:val="single" w:color="000000" w:sz="4" w:space="0"/>
              <w:right w:val="single" w:color="000000" w:sz="4" w:space="0"/>
            </w:tcBorders>
          </w:tcPr>
          <w:p w14:paraId="72BEA641">
            <w:pPr>
              <w:jc w:val="center"/>
              <w:rPr>
                <w:rFonts w:ascii="宋体" w:hAnsi="宋体" w:eastAsia="宋体"/>
              </w:rPr>
            </w:pPr>
            <w:r>
              <w:rPr>
                <w:rFonts w:ascii="宋体" w:hAnsi="宋体" w:eastAsia="宋体"/>
                <w:sz w:val="24"/>
              </w:rPr>
              <w:t>每次</w:t>
            </w:r>
          </w:p>
          <w:p w14:paraId="65A9B363">
            <w:pPr>
              <w:jc w:val="center"/>
              <w:rPr>
                <w:rFonts w:ascii="宋体" w:hAnsi="宋体" w:eastAsia="宋体"/>
              </w:rPr>
            </w:pPr>
            <w:r>
              <w:rPr>
                <w:rFonts w:ascii="宋体" w:hAnsi="宋体" w:eastAsia="宋体"/>
                <w:sz w:val="24"/>
              </w:rPr>
              <w:t>扣8分</w:t>
            </w:r>
          </w:p>
        </w:tc>
      </w:tr>
      <w:tr w14:paraId="4AC5EE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1BCC025B">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76323248">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0F765AF6">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055BF8E8">
            <w:pPr>
              <w:jc w:val="center"/>
              <w:rPr>
                <w:rFonts w:ascii="宋体" w:hAnsi="宋体" w:eastAsia="宋体"/>
              </w:rPr>
            </w:pPr>
            <w:r>
              <w:rPr>
                <w:rFonts w:ascii="宋体" w:hAnsi="宋体" w:eastAsia="宋体"/>
                <w:sz w:val="24"/>
              </w:rPr>
              <w:t>25</w:t>
            </w:r>
          </w:p>
        </w:tc>
        <w:tc>
          <w:tcPr>
            <w:tcW w:w="3043" w:type="dxa"/>
            <w:tcBorders>
              <w:top w:val="nil"/>
              <w:left w:val="single" w:color="000000" w:sz="4" w:space="0"/>
              <w:bottom w:val="single" w:color="000000" w:sz="4" w:space="0"/>
              <w:right w:val="single" w:color="000000" w:sz="4" w:space="0"/>
            </w:tcBorders>
          </w:tcPr>
          <w:p w14:paraId="71DA1F6D">
            <w:pPr>
              <w:jc w:val="center"/>
              <w:rPr>
                <w:rFonts w:ascii="宋体" w:hAnsi="宋体" w:eastAsia="宋体"/>
              </w:rPr>
            </w:pPr>
            <w:r>
              <w:rPr>
                <w:rFonts w:ascii="宋体" w:hAnsi="宋体" w:eastAsia="宋体"/>
                <w:sz w:val="24"/>
              </w:rPr>
              <w:t>做好飞灰过磅计量、分类统计、表项按时报送等工作</w:t>
            </w:r>
          </w:p>
        </w:tc>
        <w:tc>
          <w:tcPr>
            <w:tcW w:w="1351" w:type="dxa"/>
            <w:tcBorders>
              <w:top w:val="nil"/>
              <w:left w:val="single" w:color="000000" w:sz="4" w:space="0"/>
              <w:bottom w:val="single" w:color="000000" w:sz="4" w:space="0"/>
              <w:right w:val="single" w:color="000000" w:sz="4" w:space="0"/>
            </w:tcBorders>
          </w:tcPr>
          <w:p w14:paraId="22EB8FDE">
            <w:pPr>
              <w:jc w:val="center"/>
              <w:rPr>
                <w:rFonts w:ascii="宋体" w:hAnsi="宋体" w:eastAsia="宋体"/>
              </w:rPr>
            </w:pPr>
            <w:r>
              <w:rPr>
                <w:rFonts w:ascii="宋体" w:hAnsi="宋体" w:eastAsia="宋体"/>
                <w:sz w:val="24"/>
              </w:rPr>
              <w:t>未做好过磅、统计、上报等工作</w:t>
            </w:r>
          </w:p>
        </w:tc>
        <w:tc>
          <w:tcPr>
            <w:tcW w:w="810" w:type="dxa"/>
            <w:tcBorders>
              <w:top w:val="nil"/>
              <w:left w:val="single" w:color="000000" w:sz="4" w:space="0"/>
              <w:bottom w:val="single" w:color="000000" w:sz="4" w:space="0"/>
              <w:right w:val="single" w:color="000000" w:sz="4" w:space="0"/>
            </w:tcBorders>
          </w:tcPr>
          <w:p w14:paraId="1ADCC7AF">
            <w:pPr>
              <w:jc w:val="center"/>
              <w:rPr>
                <w:rFonts w:ascii="宋体" w:hAnsi="宋体" w:eastAsia="宋体"/>
              </w:rPr>
            </w:pPr>
            <w:r>
              <w:rPr>
                <w:rFonts w:ascii="宋体" w:hAnsi="宋体" w:eastAsia="宋体"/>
                <w:sz w:val="24"/>
              </w:rPr>
              <w:t>每次</w:t>
            </w:r>
          </w:p>
          <w:p w14:paraId="29D0FA2B">
            <w:pPr>
              <w:jc w:val="center"/>
              <w:rPr>
                <w:rFonts w:ascii="宋体" w:hAnsi="宋体" w:eastAsia="宋体"/>
              </w:rPr>
            </w:pPr>
            <w:r>
              <w:rPr>
                <w:rFonts w:ascii="宋体" w:hAnsi="宋体" w:eastAsia="宋体"/>
                <w:sz w:val="24"/>
              </w:rPr>
              <w:t>扣1分</w:t>
            </w:r>
          </w:p>
        </w:tc>
      </w:tr>
      <w:tr w14:paraId="18CDF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3AD4A88">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31F6D88">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1E4F0FCD">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55231BA3">
            <w:pPr>
              <w:jc w:val="center"/>
              <w:rPr>
                <w:rFonts w:ascii="宋体" w:hAnsi="宋体" w:eastAsia="宋体"/>
              </w:rPr>
            </w:pPr>
            <w:r>
              <w:rPr>
                <w:rFonts w:ascii="宋体" w:hAnsi="宋体" w:eastAsia="宋体"/>
                <w:sz w:val="24"/>
              </w:rPr>
              <w:t>26</w:t>
            </w:r>
          </w:p>
        </w:tc>
        <w:tc>
          <w:tcPr>
            <w:tcW w:w="3043" w:type="dxa"/>
            <w:tcBorders>
              <w:top w:val="nil"/>
              <w:left w:val="single" w:color="000000" w:sz="4" w:space="0"/>
              <w:bottom w:val="single" w:color="000000" w:sz="4" w:space="0"/>
              <w:right w:val="single" w:color="000000" w:sz="4" w:space="0"/>
            </w:tcBorders>
          </w:tcPr>
          <w:p w14:paraId="4B31A9FB">
            <w:pPr>
              <w:jc w:val="center"/>
              <w:rPr>
                <w:rFonts w:ascii="宋体" w:hAnsi="宋体" w:eastAsia="宋体"/>
              </w:rPr>
            </w:pPr>
            <w:r>
              <w:rPr>
                <w:rFonts w:ascii="宋体" w:hAnsi="宋体" w:eastAsia="宋体"/>
                <w:sz w:val="24"/>
              </w:rPr>
              <w:t>发现载重超限报警车辆，运营方应配合做好整改工作</w:t>
            </w:r>
          </w:p>
        </w:tc>
        <w:tc>
          <w:tcPr>
            <w:tcW w:w="1351" w:type="dxa"/>
            <w:tcBorders>
              <w:top w:val="nil"/>
              <w:left w:val="single" w:color="000000" w:sz="4" w:space="0"/>
              <w:bottom w:val="single" w:color="000000" w:sz="4" w:space="0"/>
              <w:right w:val="single" w:color="000000" w:sz="4" w:space="0"/>
            </w:tcBorders>
          </w:tcPr>
          <w:p w14:paraId="27AD0EA0">
            <w:pPr>
              <w:jc w:val="center"/>
              <w:rPr>
                <w:rFonts w:ascii="宋体" w:hAnsi="宋体" w:eastAsia="宋体"/>
              </w:rPr>
            </w:pPr>
            <w:r>
              <w:rPr>
                <w:rFonts w:ascii="宋体" w:hAnsi="宋体" w:eastAsia="宋体"/>
                <w:sz w:val="24"/>
              </w:rPr>
              <w:t>未配合做好相关工作</w:t>
            </w:r>
          </w:p>
        </w:tc>
        <w:tc>
          <w:tcPr>
            <w:tcW w:w="810" w:type="dxa"/>
            <w:tcBorders>
              <w:top w:val="nil"/>
              <w:left w:val="single" w:color="000000" w:sz="4" w:space="0"/>
              <w:bottom w:val="single" w:color="000000" w:sz="4" w:space="0"/>
              <w:right w:val="single" w:color="000000" w:sz="4" w:space="0"/>
            </w:tcBorders>
          </w:tcPr>
          <w:p w14:paraId="5D4AADAD">
            <w:pPr>
              <w:jc w:val="center"/>
              <w:rPr>
                <w:rFonts w:ascii="宋体" w:hAnsi="宋体" w:eastAsia="宋体"/>
              </w:rPr>
            </w:pPr>
            <w:r>
              <w:rPr>
                <w:rFonts w:ascii="宋体" w:hAnsi="宋体" w:eastAsia="宋体"/>
                <w:sz w:val="24"/>
              </w:rPr>
              <w:t>每次</w:t>
            </w:r>
          </w:p>
          <w:p w14:paraId="5E66D6B3">
            <w:pPr>
              <w:jc w:val="center"/>
              <w:rPr>
                <w:rFonts w:ascii="宋体" w:hAnsi="宋体" w:eastAsia="宋体"/>
              </w:rPr>
            </w:pPr>
            <w:r>
              <w:rPr>
                <w:rFonts w:ascii="宋体" w:hAnsi="宋体" w:eastAsia="宋体"/>
                <w:sz w:val="24"/>
              </w:rPr>
              <w:t>扣1分</w:t>
            </w:r>
          </w:p>
        </w:tc>
      </w:tr>
      <w:tr w14:paraId="0F2C2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2841251F">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45101CF9">
            <w:pPr>
              <w:jc w:val="center"/>
              <w:rPr>
                <w:rFonts w:ascii="宋体" w:hAnsi="宋体" w:eastAsia="宋体"/>
              </w:rPr>
            </w:pPr>
            <w:r>
              <w:rPr>
                <w:rFonts w:ascii="宋体" w:hAnsi="宋体" w:eastAsia="宋体"/>
                <w:sz w:val="24"/>
              </w:rPr>
              <w:t>9</w:t>
            </w:r>
          </w:p>
        </w:tc>
        <w:tc>
          <w:tcPr>
            <w:tcW w:w="1422" w:type="dxa"/>
            <w:vMerge w:val="restart"/>
            <w:tcBorders>
              <w:top w:val="nil"/>
              <w:left w:val="single" w:color="000000" w:sz="4" w:space="0"/>
              <w:bottom w:val="single" w:color="000000" w:sz="4" w:space="0"/>
              <w:right w:val="single" w:color="000000" w:sz="4" w:space="0"/>
            </w:tcBorders>
          </w:tcPr>
          <w:p w14:paraId="065B8C53">
            <w:pPr>
              <w:jc w:val="center"/>
              <w:rPr>
                <w:rFonts w:ascii="宋体" w:hAnsi="宋体" w:eastAsia="宋体"/>
              </w:rPr>
            </w:pPr>
            <w:r>
              <w:rPr>
                <w:rFonts w:ascii="宋体" w:hAnsi="宋体" w:eastAsia="宋体"/>
                <w:sz w:val="24"/>
              </w:rPr>
              <w:t>综合管理</w:t>
            </w:r>
          </w:p>
        </w:tc>
        <w:tc>
          <w:tcPr>
            <w:tcW w:w="426" w:type="dxa"/>
            <w:tcBorders>
              <w:top w:val="nil"/>
              <w:left w:val="single" w:color="000000" w:sz="4" w:space="0"/>
              <w:bottom w:val="single" w:color="000000" w:sz="4" w:space="0"/>
              <w:right w:val="single" w:color="000000" w:sz="4" w:space="0"/>
            </w:tcBorders>
          </w:tcPr>
          <w:p w14:paraId="4164FFB1">
            <w:pPr>
              <w:jc w:val="center"/>
              <w:rPr>
                <w:rFonts w:ascii="宋体" w:hAnsi="宋体" w:eastAsia="宋体"/>
              </w:rPr>
            </w:pPr>
            <w:r>
              <w:rPr>
                <w:rFonts w:ascii="宋体" w:hAnsi="宋体" w:eastAsia="宋体"/>
                <w:sz w:val="24"/>
              </w:rPr>
              <w:t>27</w:t>
            </w:r>
          </w:p>
        </w:tc>
        <w:tc>
          <w:tcPr>
            <w:tcW w:w="3043" w:type="dxa"/>
            <w:tcBorders>
              <w:top w:val="nil"/>
              <w:left w:val="single" w:color="000000" w:sz="4" w:space="0"/>
              <w:bottom w:val="single" w:color="000000" w:sz="4" w:space="0"/>
              <w:right w:val="single" w:color="000000" w:sz="4" w:space="0"/>
            </w:tcBorders>
          </w:tcPr>
          <w:p w14:paraId="3A529F32">
            <w:pPr>
              <w:jc w:val="center"/>
              <w:rPr>
                <w:rFonts w:ascii="宋体" w:hAnsi="宋体" w:eastAsia="宋体"/>
              </w:rPr>
            </w:pPr>
            <w:r>
              <w:rPr>
                <w:rFonts w:ascii="宋体" w:hAnsi="宋体" w:eastAsia="宋体"/>
                <w:sz w:val="24"/>
              </w:rPr>
              <w:t>生产现场安全标识完善规范</w:t>
            </w:r>
          </w:p>
        </w:tc>
        <w:tc>
          <w:tcPr>
            <w:tcW w:w="1351" w:type="dxa"/>
            <w:tcBorders>
              <w:top w:val="nil"/>
              <w:left w:val="single" w:color="000000" w:sz="4" w:space="0"/>
              <w:bottom w:val="single" w:color="000000" w:sz="4" w:space="0"/>
              <w:right w:val="single" w:color="000000" w:sz="4" w:space="0"/>
            </w:tcBorders>
          </w:tcPr>
          <w:p w14:paraId="48F5ED57">
            <w:pPr>
              <w:jc w:val="center"/>
              <w:rPr>
                <w:rFonts w:ascii="宋体" w:hAnsi="宋体" w:eastAsia="宋体"/>
              </w:rPr>
            </w:pPr>
            <w:r>
              <w:rPr>
                <w:rFonts w:ascii="宋体" w:hAnsi="宋体" w:eastAsia="宋体"/>
                <w:sz w:val="24"/>
              </w:rPr>
              <w:t>存在安全标识问题未及时处理</w:t>
            </w:r>
          </w:p>
        </w:tc>
        <w:tc>
          <w:tcPr>
            <w:tcW w:w="810" w:type="dxa"/>
            <w:tcBorders>
              <w:top w:val="nil"/>
              <w:left w:val="single" w:color="000000" w:sz="4" w:space="0"/>
              <w:bottom w:val="single" w:color="000000" w:sz="4" w:space="0"/>
              <w:right w:val="single" w:color="000000" w:sz="4" w:space="0"/>
            </w:tcBorders>
          </w:tcPr>
          <w:p w14:paraId="461A6B31">
            <w:pPr>
              <w:jc w:val="center"/>
              <w:rPr>
                <w:rFonts w:ascii="宋体" w:hAnsi="宋体" w:eastAsia="宋体"/>
              </w:rPr>
            </w:pPr>
            <w:r>
              <w:rPr>
                <w:rFonts w:ascii="宋体" w:hAnsi="宋体" w:eastAsia="宋体"/>
                <w:sz w:val="24"/>
              </w:rPr>
              <w:t>扣0.5分</w:t>
            </w:r>
          </w:p>
        </w:tc>
      </w:tr>
      <w:tr w14:paraId="771D63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43E836F4">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7897325D">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45950FC8">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48AE1A97">
            <w:pPr>
              <w:jc w:val="center"/>
              <w:rPr>
                <w:rFonts w:ascii="宋体" w:hAnsi="宋体" w:eastAsia="宋体"/>
              </w:rPr>
            </w:pPr>
            <w:r>
              <w:rPr>
                <w:rFonts w:ascii="宋体" w:hAnsi="宋体" w:eastAsia="宋体"/>
                <w:sz w:val="24"/>
              </w:rPr>
              <w:t>28</w:t>
            </w:r>
          </w:p>
        </w:tc>
        <w:tc>
          <w:tcPr>
            <w:tcW w:w="3043" w:type="dxa"/>
            <w:tcBorders>
              <w:top w:val="nil"/>
              <w:left w:val="single" w:color="000000" w:sz="4" w:space="0"/>
              <w:bottom w:val="single" w:color="000000" w:sz="4" w:space="0"/>
              <w:right w:val="single" w:color="000000" w:sz="4" w:space="0"/>
            </w:tcBorders>
          </w:tcPr>
          <w:p w14:paraId="25FBB9E2">
            <w:pPr>
              <w:jc w:val="center"/>
              <w:rPr>
                <w:rFonts w:ascii="宋体" w:hAnsi="宋体" w:eastAsia="宋体"/>
              </w:rPr>
            </w:pPr>
            <w:r>
              <w:rPr>
                <w:rFonts w:ascii="宋体" w:hAnsi="宋体" w:eastAsia="宋体"/>
                <w:sz w:val="24"/>
              </w:rPr>
              <w:t>做好垃圾场提供的物质材料、辅助工具、设备设施的保管工作</w:t>
            </w:r>
          </w:p>
        </w:tc>
        <w:tc>
          <w:tcPr>
            <w:tcW w:w="1351" w:type="dxa"/>
            <w:tcBorders>
              <w:top w:val="nil"/>
              <w:left w:val="single" w:color="000000" w:sz="4" w:space="0"/>
              <w:bottom w:val="single" w:color="000000" w:sz="4" w:space="0"/>
              <w:right w:val="single" w:color="000000" w:sz="4" w:space="0"/>
            </w:tcBorders>
          </w:tcPr>
          <w:p w14:paraId="2528888E">
            <w:pPr>
              <w:jc w:val="center"/>
              <w:rPr>
                <w:rFonts w:ascii="宋体" w:hAnsi="宋体" w:eastAsia="宋体"/>
              </w:rPr>
            </w:pPr>
            <w:r>
              <w:rPr>
                <w:rFonts w:ascii="宋体" w:hAnsi="宋体" w:eastAsia="宋体"/>
                <w:sz w:val="24"/>
              </w:rPr>
              <w:t>保管不善，发现有丢失、损坏</w:t>
            </w:r>
          </w:p>
        </w:tc>
        <w:tc>
          <w:tcPr>
            <w:tcW w:w="810" w:type="dxa"/>
            <w:tcBorders>
              <w:top w:val="nil"/>
              <w:left w:val="single" w:color="000000" w:sz="4" w:space="0"/>
              <w:bottom w:val="single" w:color="000000" w:sz="4" w:space="0"/>
              <w:right w:val="single" w:color="000000" w:sz="4" w:space="0"/>
            </w:tcBorders>
          </w:tcPr>
          <w:p w14:paraId="67F91A76">
            <w:pPr>
              <w:jc w:val="center"/>
              <w:rPr>
                <w:rFonts w:ascii="宋体" w:hAnsi="宋体" w:eastAsia="宋体"/>
              </w:rPr>
            </w:pPr>
            <w:r>
              <w:rPr>
                <w:rFonts w:ascii="宋体" w:hAnsi="宋体" w:eastAsia="宋体"/>
                <w:sz w:val="24"/>
              </w:rPr>
              <w:t>每次</w:t>
            </w:r>
          </w:p>
          <w:p w14:paraId="23FFBFB1">
            <w:pPr>
              <w:jc w:val="center"/>
              <w:rPr>
                <w:rFonts w:ascii="宋体" w:hAnsi="宋体" w:eastAsia="宋体"/>
              </w:rPr>
            </w:pPr>
            <w:r>
              <w:rPr>
                <w:rFonts w:ascii="宋体" w:hAnsi="宋体" w:eastAsia="宋体"/>
                <w:sz w:val="24"/>
              </w:rPr>
              <w:t>扣1分</w:t>
            </w:r>
          </w:p>
        </w:tc>
      </w:tr>
      <w:tr w14:paraId="691DB7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2C6524BE">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9BE9B79">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27A9E27F">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3158C448">
            <w:pPr>
              <w:jc w:val="center"/>
              <w:rPr>
                <w:rFonts w:ascii="宋体" w:hAnsi="宋体" w:eastAsia="宋体"/>
              </w:rPr>
            </w:pPr>
            <w:r>
              <w:rPr>
                <w:rFonts w:ascii="宋体" w:hAnsi="宋体" w:eastAsia="宋体"/>
                <w:sz w:val="24"/>
              </w:rPr>
              <w:t>29</w:t>
            </w:r>
          </w:p>
        </w:tc>
        <w:tc>
          <w:tcPr>
            <w:tcW w:w="3043" w:type="dxa"/>
            <w:tcBorders>
              <w:top w:val="nil"/>
              <w:left w:val="single" w:color="000000" w:sz="4" w:space="0"/>
              <w:bottom w:val="single" w:color="000000" w:sz="4" w:space="0"/>
              <w:right w:val="single" w:color="000000" w:sz="4" w:space="0"/>
            </w:tcBorders>
          </w:tcPr>
          <w:p w14:paraId="47C7BA48">
            <w:pPr>
              <w:jc w:val="center"/>
              <w:rPr>
                <w:rFonts w:ascii="宋体" w:hAnsi="宋体" w:eastAsia="宋体"/>
              </w:rPr>
            </w:pPr>
            <w:r>
              <w:rPr>
                <w:rFonts w:ascii="宋体" w:hAnsi="宋体" w:eastAsia="宋体"/>
                <w:sz w:val="24"/>
              </w:rPr>
              <w:t>在岗人员作业资质合格，证书有效。</w:t>
            </w:r>
          </w:p>
        </w:tc>
        <w:tc>
          <w:tcPr>
            <w:tcW w:w="1351" w:type="dxa"/>
            <w:tcBorders>
              <w:top w:val="nil"/>
              <w:left w:val="single" w:color="000000" w:sz="4" w:space="0"/>
              <w:bottom w:val="single" w:color="000000" w:sz="4" w:space="0"/>
              <w:right w:val="single" w:color="000000" w:sz="4" w:space="0"/>
            </w:tcBorders>
          </w:tcPr>
          <w:p w14:paraId="4F308F4C">
            <w:pPr>
              <w:jc w:val="center"/>
              <w:rPr>
                <w:rFonts w:ascii="宋体" w:hAnsi="宋体" w:eastAsia="宋体"/>
              </w:rPr>
            </w:pPr>
            <w:r>
              <w:rPr>
                <w:rFonts w:ascii="宋体" w:hAnsi="宋体" w:eastAsia="宋体"/>
                <w:sz w:val="24"/>
              </w:rPr>
              <w:t>发现资质管理及审核工作落实不良的</w:t>
            </w:r>
          </w:p>
        </w:tc>
        <w:tc>
          <w:tcPr>
            <w:tcW w:w="810" w:type="dxa"/>
            <w:tcBorders>
              <w:top w:val="nil"/>
              <w:left w:val="single" w:color="000000" w:sz="4" w:space="0"/>
              <w:bottom w:val="single" w:color="000000" w:sz="4" w:space="0"/>
              <w:right w:val="single" w:color="000000" w:sz="4" w:space="0"/>
            </w:tcBorders>
          </w:tcPr>
          <w:p w14:paraId="19387AAB">
            <w:pPr>
              <w:jc w:val="center"/>
              <w:rPr>
                <w:rFonts w:ascii="宋体" w:hAnsi="宋体" w:eastAsia="宋体"/>
              </w:rPr>
            </w:pPr>
            <w:r>
              <w:rPr>
                <w:rFonts w:ascii="宋体" w:hAnsi="宋体" w:eastAsia="宋体"/>
                <w:sz w:val="24"/>
              </w:rPr>
              <w:t>扣1分</w:t>
            </w:r>
          </w:p>
        </w:tc>
      </w:tr>
      <w:tr w14:paraId="58453F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B112F8C">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07A558A9">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0525D3E7">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35CFCE06">
            <w:pPr>
              <w:jc w:val="center"/>
              <w:rPr>
                <w:rFonts w:ascii="宋体" w:hAnsi="宋体" w:eastAsia="宋体"/>
              </w:rPr>
            </w:pPr>
            <w:r>
              <w:rPr>
                <w:rFonts w:ascii="宋体" w:hAnsi="宋体" w:eastAsia="宋体"/>
                <w:sz w:val="24"/>
              </w:rPr>
              <w:t>30</w:t>
            </w:r>
          </w:p>
        </w:tc>
        <w:tc>
          <w:tcPr>
            <w:tcW w:w="3043" w:type="dxa"/>
            <w:tcBorders>
              <w:top w:val="nil"/>
              <w:left w:val="single" w:color="000000" w:sz="4" w:space="0"/>
              <w:bottom w:val="single" w:color="000000" w:sz="4" w:space="0"/>
              <w:right w:val="single" w:color="000000" w:sz="4" w:space="0"/>
            </w:tcBorders>
          </w:tcPr>
          <w:p w14:paraId="3B7522DD">
            <w:pPr>
              <w:jc w:val="center"/>
              <w:rPr>
                <w:rFonts w:ascii="宋体" w:hAnsi="宋体" w:eastAsia="宋体"/>
              </w:rPr>
            </w:pPr>
            <w:r>
              <w:rPr>
                <w:rFonts w:ascii="宋体" w:hAnsi="宋体" w:eastAsia="宋体"/>
                <w:sz w:val="24"/>
              </w:rPr>
              <w:t>完善管理制度，推行信息化管理，运行资料完整齐全，归档有序</w:t>
            </w:r>
          </w:p>
        </w:tc>
        <w:tc>
          <w:tcPr>
            <w:tcW w:w="1351" w:type="dxa"/>
            <w:tcBorders>
              <w:top w:val="nil"/>
              <w:left w:val="single" w:color="000000" w:sz="4" w:space="0"/>
              <w:bottom w:val="single" w:color="000000" w:sz="4" w:space="0"/>
              <w:right w:val="single" w:color="000000" w:sz="4" w:space="0"/>
            </w:tcBorders>
          </w:tcPr>
          <w:p w14:paraId="52DD4919">
            <w:pPr>
              <w:jc w:val="center"/>
              <w:rPr>
                <w:rFonts w:ascii="宋体" w:hAnsi="宋体" w:eastAsia="宋体"/>
              </w:rPr>
            </w:pPr>
            <w:r>
              <w:rPr>
                <w:rFonts w:ascii="宋体" w:hAnsi="宋体" w:eastAsia="宋体"/>
                <w:sz w:val="24"/>
              </w:rPr>
              <w:t>存在明显疏漏</w:t>
            </w:r>
          </w:p>
        </w:tc>
        <w:tc>
          <w:tcPr>
            <w:tcW w:w="810" w:type="dxa"/>
            <w:tcBorders>
              <w:top w:val="nil"/>
              <w:left w:val="single" w:color="000000" w:sz="4" w:space="0"/>
              <w:bottom w:val="single" w:color="000000" w:sz="4" w:space="0"/>
              <w:right w:val="single" w:color="000000" w:sz="4" w:space="0"/>
            </w:tcBorders>
          </w:tcPr>
          <w:p w14:paraId="59C1915D">
            <w:pPr>
              <w:jc w:val="center"/>
              <w:rPr>
                <w:rFonts w:ascii="宋体" w:hAnsi="宋体" w:eastAsia="宋体"/>
              </w:rPr>
            </w:pPr>
            <w:r>
              <w:rPr>
                <w:rFonts w:ascii="宋体" w:hAnsi="宋体" w:eastAsia="宋体"/>
                <w:sz w:val="24"/>
              </w:rPr>
              <w:t>扣1分</w:t>
            </w:r>
          </w:p>
        </w:tc>
      </w:tr>
      <w:tr w14:paraId="726A82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4E5FC0A">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BC3E1ED">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7B1CB31C">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4FEF1D87">
            <w:pPr>
              <w:jc w:val="center"/>
              <w:rPr>
                <w:rFonts w:ascii="宋体" w:hAnsi="宋体" w:eastAsia="宋体"/>
              </w:rPr>
            </w:pPr>
            <w:r>
              <w:rPr>
                <w:rFonts w:ascii="宋体" w:hAnsi="宋体" w:eastAsia="宋体"/>
                <w:sz w:val="24"/>
              </w:rPr>
              <w:t>31</w:t>
            </w:r>
          </w:p>
        </w:tc>
        <w:tc>
          <w:tcPr>
            <w:tcW w:w="3043" w:type="dxa"/>
            <w:tcBorders>
              <w:top w:val="nil"/>
              <w:left w:val="single" w:color="000000" w:sz="4" w:space="0"/>
              <w:bottom w:val="single" w:color="000000" w:sz="4" w:space="0"/>
              <w:right w:val="single" w:color="000000" w:sz="4" w:space="0"/>
            </w:tcBorders>
          </w:tcPr>
          <w:p w14:paraId="734C6940">
            <w:pPr>
              <w:jc w:val="center"/>
              <w:rPr>
                <w:rFonts w:ascii="宋体" w:hAnsi="宋体" w:eastAsia="宋体"/>
              </w:rPr>
            </w:pPr>
            <w:r>
              <w:rPr>
                <w:rFonts w:ascii="宋体" w:hAnsi="宋体" w:eastAsia="宋体"/>
                <w:sz w:val="24"/>
              </w:rPr>
              <w:t>节假日期间应做好人员值班安排，提前上报节假值班表</w:t>
            </w:r>
          </w:p>
        </w:tc>
        <w:tc>
          <w:tcPr>
            <w:tcW w:w="1351" w:type="dxa"/>
            <w:tcBorders>
              <w:top w:val="nil"/>
              <w:left w:val="single" w:color="000000" w:sz="4" w:space="0"/>
              <w:bottom w:val="single" w:color="000000" w:sz="4" w:space="0"/>
              <w:right w:val="single" w:color="000000" w:sz="4" w:space="0"/>
            </w:tcBorders>
          </w:tcPr>
          <w:p w14:paraId="3DEBDA80">
            <w:pPr>
              <w:jc w:val="center"/>
              <w:rPr>
                <w:rFonts w:ascii="宋体" w:hAnsi="宋体" w:eastAsia="宋体"/>
              </w:rPr>
            </w:pPr>
            <w:r>
              <w:rPr>
                <w:rFonts w:ascii="宋体" w:hAnsi="宋体" w:eastAsia="宋体"/>
                <w:sz w:val="24"/>
              </w:rPr>
              <w:t>节假值班工作未良好落实</w:t>
            </w:r>
          </w:p>
        </w:tc>
        <w:tc>
          <w:tcPr>
            <w:tcW w:w="810" w:type="dxa"/>
            <w:tcBorders>
              <w:top w:val="nil"/>
              <w:left w:val="single" w:color="000000" w:sz="4" w:space="0"/>
              <w:bottom w:val="single" w:color="000000" w:sz="4" w:space="0"/>
              <w:right w:val="single" w:color="000000" w:sz="4" w:space="0"/>
            </w:tcBorders>
          </w:tcPr>
          <w:p w14:paraId="6482DF05">
            <w:pPr>
              <w:jc w:val="center"/>
              <w:rPr>
                <w:rFonts w:ascii="宋体" w:hAnsi="宋体" w:eastAsia="宋体"/>
              </w:rPr>
            </w:pPr>
            <w:r>
              <w:rPr>
                <w:rFonts w:ascii="宋体" w:hAnsi="宋体" w:eastAsia="宋体"/>
                <w:sz w:val="24"/>
              </w:rPr>
              <w:t>每次</w:t>
            </w:r>
          </w:p>
          <w:p w14:paraId="35A3C26D">
            <w:pPr>
              <w:jc w:val="center"/>
              <w:rPr>
                <w:rFonts w:ascii="宋体" w:hAnsi="宋体" w:eastAsia="宋体"/>
              </w:rPr>
            </w:pPr>
            <w:r>
              <w:rPr>
                <w:rFonts w:ascii="宋体" w:hAnsi="宋体" w:eastAsia="宋体"/>
                <w:sz w:val="24"/>
              </w:rPr>
              <w:t>扣0.5分</w:t>
            </w:r>
          </w:p>
        </w:tc>
      </w:tr>
      <w:tr w14:paraId="4D27F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1B50FD03">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33432F3">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4C750875">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63F7DBD8">
            <w:pPr>
              <w:jc w:val="center"/>
              <w:rPr>
                <w:rFonts w:ascii="宋体" w:hAnsi="宋体" w:eastAsia="宋体"/>
              </w:rPr>
            </w:pPr>
            <w:r>
              <w:rPr>
                <w:rFonts w:ascii="宋体" w:hAnsi="宋体" w:eastAsia="宋体"/>
                <w:sz w:val="24"/>
              </w:rPr>
              <w:t>32</w:t>
            </w:r>
          </w:p>
        </w:tc>
        <w:tc>
          <w:tcPr>
            <w:tcW w:w="3043" w:type="dxa"/>
            <w:tcBorders>
              <w:top w:val="nil"/>
              <w:left w:val="single" w:color="000000" w:sz="4" w:space="0"/>
              <w:bottom w:val="single" w:color="000000" w:sz="4" w:space="0"/>
              <w:right w:val="single" w:color="000000" w:sz="4" w:space="0"/>
            </w:tcBorders>
          </w:tcPr>
          <w:p w14:paraId="13329824">
            <w:pPr>
              <w:jc w:val="center"/>
              <w:rPr>
                <w:rFonts w:ascii="宋体" w:hAnsi="宋体" w:eastAsia="宋体"/>
              </w:rPr>
            </w:pPr>
            <w:r>
              <w:rPr>
                <w:rFonts w:ascii="宋体" w:hAnsi="宋体" w:eastAsia="宋体"/>
                <w:sz w:val="24"/>
              </w:rPr>
              <w:t>运营方应对监管工作积极配合，加强沟通，建立良好的环保企业风貌</w:t>
            </w:r>
          </w:p>
        </w:tc>
        <w:tc>
          <w:tcPr>
            <w:tcW w:w="1351" w:type="dxa"/>
            <w:tcBorders>
              <w:top w:val="nil"/>
              <w:left w:val="single" w:color="000000" w:sz="4" w:space="0"/>
              <w:bottom w:val="single" w:color="000000" w:sz="4" w:space="0"/>
              <w:right w:val="single" w:color="000000" w:sz="4" w:space="0"/>
            </w:tcBorders>
          </w:tcPr>
          <w:p w14:paraId="2827AE69">
            <w:pPr>
              <w:jc w:val="center"/>
              <w:rPr>
                <w:rFonts w:ascii="宋体" w:hAnsi="宋体" w:eastAsia="宋体"/>
              </w:rPr>
            </w:pPr>
            <w:r>
              <w:rPr>
                <w:rFonts w:ascii="宋体" w:hAnsi="宋体" w:eastAsia="宋体"/>
                <w:sz w:val="24"/>
              </w:rPr>
              <w:t>运营方对监管工作不予配合或消极应付</w:t>
            </w:r>
          </w:p>
        </w:tc>
        <w:tc>
          <w:tcPr>
            <w:tcW w:w="810" w:type="dxa"/>
            <w:tcBorders>
              <w:top w:val="nil"/>
              <w:left w:val="single" w:color="000000" w:sz="4" w:space="0"/>
              <w:bottom w:val="single" w:color="000000" w:sz="4" w:space="0"/>
              <w:right w:val="single" w:color="000000" w:sz="4" w:space="0"/>
            </w:tcBorders>
          </w:tcPr>
          <w:p w14:paraId="1646B0AA">
            <w:pPr>
              <w:jc w:val="center"/>
              <w:rPr>
                <w:rFonts w:ascii="宋体" w:hAnsi="宋体" w:eastAsia="宋体"/>
              </w:rPr>
            </w:pPr>
            <w:r>
              <w:rPr>
                <w:rFonts w:ascii="宋体" w:hAnsi="宋体" w:eastAsia="宋体"/>
                <w:sz w:val="24"/>
              </w:rPr>
              <w:t>每次</w:t>
            </w:r>
          </w:p>
          <w:p w14:paraId="59962929">
            <w:pPr>
              <w:jc w:val="center"/>
              <w:rPr>
                <w:rFonts w:ascii="宋体" w:hAnsi="宋体" w:eastAsia="宋体"/>
              </w:rPr>
            </w:pPr>
            <w:r>
              <w:rPr>
                <w:rFonts w:ascii="宋体" w:hAnsi="宋体" w:eastAsia="宋体"/>
                <w:sz w:val="24"/>
              </w:rPr>
              <w:t>扣2分</w:t>
            </w:r>
          </w:p>
        </w:tc>
      </w:tr>
      <w:tr w14:paraId="45D2C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1AB7B53E">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67BD3089">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14239B5F">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7C7D0D93">
            <w:pPr>
              <w:jc w:val="center"/>
              <w:rPr>
                <w:rFonts w:ascii="宋体" w:hAnsi="宋体" w:eastAsia="宋体"/>
              </w:rPr>
            </w:pPr>
            <w:r>
              <w:rPr>
                <w:rFonts w:ascii="宋体" w:hAnsi="宋体" w:eastAsia="宋体"/>
                <w:sz w:val="24"/>
              </w:rPr>
              <w:t>33</w:t>
            </w:r>
          </w:p>
        </w:tc>
        <w:tc>
          <w:tcPr>
            <w:tcW w:w="3043" w:type="dxa"/>
            <w:tcBorders>
              <w:top w:val="nil"/>
              <w:left w:val="single" w:color="000000" w:sz="4" w:space="0"/>
              <w:bottom w:val="single" w:color="000000" w:sz="4" w:space="0"/>
              <w:right w:val="single" w:color="000000" w:sz="4" w:space="0"/>
            </w:tcBorders>
          </w:tcPr>
          <w:p w14:paraId="16EC07CD">
            <w:pPr>
              <w:jc w:val="center"/>
              <w:rPr>
                <w:rFonts w:ascii="宋体" w:hAnsi="宋体" w:eastAsia="宋体"/>
              </w:rPr>
            </w:pPr>
            <w:r>
              <w:rPr>
                <w:rFonts w:ascii="宋体" w:hAnsi="宋体" w:eastAsia="宋体"/>
                <w:sz w:val="24"/>
              </w:rPr>
              <w:t>运营方应按监管要求审核上报运营报表材料并保证材料真实有效</w:t>
            </w:r>
          </w:p>
        </w:tc>
        <w:tc>
          <w:tcPr>
            <w:tcW w:w="1351" w:type="dxa"/>
            <w:tcBorders>
              <w:top w:val="nil"/>
              <w:left w:val="single" w:color="000000" w:sz="4" w:space="0"/>
              <w:bottom w:val="single" w:color="000000" w:sz="4" w:space="0"/>
              <w:right w:val="single" w:color="000000" w:sz="4" w:space="0"/>
            </w:tcBorders>
          </w:tcPr>
          <w:p w14:paraId="4DCCB4DA">
            <w:pPr>
              <w:jc w:val="center"/>
              <w:rPr>
                <w:rFonts w:ascii="宋体" w:hAnsi="宋体" w:eastAsia="宋体"/>
              </w:rPr>
            </w:pPr>
            <w:r>
              <w:rPr>
                <w:rFonts w:ascii="宋体" w:hAnsi="宋体" w:eastAsia="宋体"/>
                <w:sz w:val="24"/>
              </w:rPr>
              <w:t>发现所报材料未良好审核，错漏明显或失真时</w:t>
            </w:r>
          </w:p>
        </w:tc>
        <w:tc>
          <w:tcPr>
            <w:tcW w:w="810" w:type="dxa"/>
            <w:tcBorders>
              <w:top w:val="nil"/>
              <w:left w:val="single" w:color="000000" w:sz="4" w:space="0"/>
              <w:bottom w:val="single" w:color="000000" w:sz="4" w:space="0"/>
              <w:right w:val="single" w:color="000000" w:sz="4" w:space="0"/>
            </w:tcBorders>
          </w:tcPr>
          <w:p w14:paraId="506F4BC5">
            <w:pPr>
              <w:jc w:val="center"/>
              <w:rPr>
                <w:rFonts w:ascii="宋体" w:hAnsi="宋体" w:eastAsia="宋体"/>
              </w:rPr>
            </w:pPr>
            <w:r>
              <w:rPr>
                <w:rFonts w:ascii="宋体" w:hAnsi="宋体" w:eastAsia="宋体"/>
                <w:sz w:val="24"/>
              </w:rPr>
              <w:t>每次</w:t>
            </w:r>
          </w:p>
          <w:p w14:paraId="1E485DF4">
            <w:pPr>
              <w:jc w:val="center"/>
              <w:rPr>
                <w:rFonts w:ascii="宋体" w:hAnsi="宋体" w:eastAsia="宋体"/>
              </w:rPr>
            </w:pPr>
            <w:r>
              <w:rPr>
                <w:rFonts w:ascii="宋体" w:hAnsi="宋体" w:eastAsia="宋体"/>
                <w:sz w:val="24"/>
              </w:rPr>
              <w:t>扣1分</w:t>
            </w:r>
          </w:p>
        </w:tc>
      </w:tr>
      <w:tr w14:paraId="3D6842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5E02E4F6">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7574810">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714D5468">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641F5431">
            <w:pPr>
              <w:jc w:val="center"/>
              <w:rPr>
                <w:rFonts w:ascii="宋体" w:hAnsi="宋体" w:eastAsia="宋体"/>
              </w:rPr>
            </w:pPr>
            <w:r>
              <w:rPr>
                <w:rFonts w:ascii="宋体" w:hAnsi="宋体" w:eastAsia="宋体"/>
                <w:sz w:val="24"/>
              </w:rPr>
              <w:t>34</w:t>
            </w:r>
          </w:p>
        </w:tc>
        <w:tc>
          <w:tcPr>
            <w:tcW w:w="3043" w:type="dxa"/>
            <w:tcBorders>
              <w:top w:val="nil"/>
              <w:left w:val="single" w:color="000000" w:sz="4" w:space="0"/>
              <w:bottom w:val="single" w:color="000000" w:sz="4" w:space="0"/>
              <w:right w:val="single" w:color="000000" w:sz="4" w:space="0"/>
            </w:tcBorders>
          </w:tcPr>
          <w:p w14:paraId="0732935E">
            <w:pPr>
              <w:jc w:val="center"/>
              <w:rPr>
                <w:rFonts w:ascii="宋体" w:hAnsi="宋体" w:eastAsia="宋体"/>
              </w:rPr>
            </w:pPr>
            <w:r>
              <w:rPr>
                <w:rFonts w:ascii="宋体" w:hAnsi="宋体" w:eastAsia="宋体"/>
                <w:sz w:val="24"/>
              </w:rPr>
              <w:t>当月整改联系单回复率应达到100%，对暂不具备整改条件的整改问题做好处理计划</w:t>
            </w:r>
          </w:p>
        </w:tc>
        <w:tc>
          <w:tcPr>
            <w:tcW w:w="1351" w:type="dxa"/>
            <w:tcBorders>
              <w:top w:val="nil"/>
              <w:left w:val="single" w:color="000000" w:sz="4" w:space="0"/>
              <w:bottom w:val="single" w:color="000000" w:sz="4" w:space="0"/>
              <w:right w:val="single" w:color="000000" w:sz="4" w:space="0"/>
            </w:tcBorders>
          </w:tcPr>
          <w:p w14:paraId="6B4001FD">
            <w:pPr>
              <w:jc w:val="center"/>
              <w:rPr>
                <w:rFonts w:ascii="宋体" w:hAnsi="宋体" w:eastAsia="宋体"/>
              </w:rPr>
            </w:pPr>
            <w:r>
              <w:rPr>
                <w:rFonts w:ascii="宋体" w:hAnsi="宋体" w:eastAsia="宋体"/>
                <w:sz w:val="24"/>
              </w:rPr>
              <w:t>当月整改联系单存在未回复的</w:t>
            </w:r>
          </w:p>
        </w:tc>
        <w:tc>
          <w:tcPr>
            <w:tcW w:w="810" w:type="dxa"/>
            <w:tcBorders>
              <w:top w:val="nil"/>
              <w:left w:val="single" w:color="000000" w:sz="4" w:space="0"/>
              <w:bottom w:val="single" w:color="000000" w:sz="4" w:space="0"/>
              <w:right w:val="single" w:color="000000" w:sz="4" w:space="0"/>
            </w:tcBorders>
          </w:tcPr>
          <w:p w14:paraId="134F89B6">
            <w:pPr>
              <w:jc w:val="center"/>
              <w:rPr>
                <w:rFonts w:ascii="宋体" w:hAnsi="宋体" w:eastAsia="宋体"/>
              </w:rPr>
            </w:pPr>
            <w:r>
              <w:rPr>
                <w:rFonts w:ascii="宋体" w:hAnsi="宋体" w:eastAsia="宋体"/>
                <w:sz w:val="24"/>
              </w:rPr>
              <w:t>扣1分</w:t>
            </w:r>
          </w:p>
        </w:tc>
      </w:tr>
      <w:tr w14:paraId="3927EA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659B5688">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74C84F5F">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558911BA">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66C66C47">
            <w:pPr>
              <w:jc w:val="center"/>
              <w:rPr>
                <w:rFonts w:ascii="宋体" w:hAnsi="宋体" w:eastAsia="宋体"/>
              </w:rPr>
            </w:pPr>
            <w:r>
              <w:rPr>
                <w:rFonts w:ascii="宋体" w:hAnsi="宋体" w:eastAsia="宋体"/>
                <w:sz w:val="24"/>
              </w:rPr>
              <w:t>35</w:t>
            </w:r>
          </w:p>
        </w:tc>
        <w:tc>
          <w:tcPr>
            <w:tcW w:w="3043" w:type="dxa"/>
            <w:tcBorders>
              <w:top w:val="nil"/>
              <w:left w:val="single" w:color="000000" w:sz="4" w:space="0"/>
              <w:bottom w:val="single" w:color="000000" w:sz="4" w:space="0"/>
              <w:right w:val="single" w:color="000000" w:sz="4" w:space="0"/>
            </w:tcBorders>
          </w:tcPr>
          <w:p w14:paraId="1BCE4594">
            <w:pPr>
              <w:jc w:val="center"/>
              <w:rPr>
                <w:rFonts w:ascii="宋体" w:hAnsi="宋体" w:eastAsia="宋体"/>
              </w:rPr>
            </w:pPr>
            <w:r>
              <w:rPr>
                <w:rFonts w:ascii="宋体" w:hAnsi="宋体" w:eastAsia="宋体"/>
                <w:sz w:val="24"/>
              </w:rPr>
              <w:t>运营方对监管方通过会议、检查等形式提出的问题应及时按要求整改到位</w:t>
            </w:r>
          </w:p>
        </w:tc>
        <w:tc>
          <w:tcPr>
            <w:tcW w:w="1351" w:type="dxa"/>
            <w:tcBorders>
              <w:top w:val="nil"/>
              <w:left w:val="single" w:color="000000" w:sz="4" w:space="0"/>
              <w:bottom w:val="single" w:color="000000" w:sz="4" w:space="0"/>
              <w:right w:val="single" w:color="000000" w:sz="4" w:space="0"/>
            </w:tcBorders>
          </w:tcPr>
          <w:p w14:paraId="2D12C92D">
            <w:pPr>
              <w:jc w:val="center"/>
              <w:rPr>
                <w:rFonts w:ascii="宋体" w:hAnsi="宋体" w:eastAsia="宋体"/>
              </w:rPr>
            </w:pPr>
            <w:r>
              <w:rPr>
                <w:rFonts w:ascii="宋体" w:hAnsi="宋体" w:eastAsia="宋体"/>
                <w:sz w:val="24"/>
              </w:rPr>
              <w:t>对未按要求整改到位或造成不良影响的</w:t>
            </w:r>
          </w:p>
        </w:tc>
        <w:tc>
          <w:tcPr>
            <w:tcW w:w="810" w:type="dxa"/>
            <w:tcBorders>
              <w:top w:val="nil"/>
              <w:left w:val="single" w:color="000000" w:sz="4" w:space="0"/>
              <w:bottom w:val="single" w:color="000000" w:sz="4" w:space="0"/>
              <w:right w:val="single" w:color="000000" w:sz="4" w:space="0"/>
            </w:tcBorders>
          </w:tcPr>
          <w:p w14:paraId="1478163C">
            <w:pPr>
              <w:jc w:val="center"/>
              <w:rPr>
                <w:rFonts w:ascii="宋体" w:hAnsi="宋体" w:eastAsia="宋体"/>
              </w:rPr>
            </w:pPr>
            <w:r>
              <w:rPr>
                <w:rFonts w:ascii="宋体" w:hAnsi="宋体" w:eastAsia="宋体"/>
                <w:sz w:val="24"/>
              </w:rPr>
              <w:t>每次</w:t>
            </w:r>
          </w:p>
          <w:p w14:paraId="23B443DF">
            <w:pPr>
              <w:jc w:val="center"/>
              <w:rPr>
                <w:rFonts w:ascii="宋体" w:hAnsi="宋体" w:eastAsia="宋体"/>
              </w:rPr>
            </w:pPr>
            <w:r>
              <w:rPr>
                <w:rFonts w:ascii="宋体" w:hAnsi="宋体" w:eastAsia="宋体"/>
                <w:sz w:val="24"/>
              </w:rPr>
              <w:t>扣1分</w:t>
            </w:r>
          </w:p>
        </w:tc>
      </w:tr>
      <w:tr w14:paraId="2A675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6C98E3D4">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39244562">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1413867D">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6397941B">
            <w:pPr>
              <w:jc w:val="center"/>
              <w:rPr>
                <w:rFonts w:ascii="宋体" w:hAnsi="宋体" w:eastAsia="宋体"/>
              </w:rPr>
            </w:pPr>
            <w:r>
              <w:rPr>
                <w:rFonts w:ascii="宋体" w:hAnsi="宋体" w:eastAsia="宋体"/>
                <w:sz w:val="24"/>
              </w:rPr>
              <w:t>36</w:t>
            </w:r>
          </w:p>
        </w:tc>
        <w:tc>
          <w:tcPr>
            <w:tcW w:w="3043" w:type="dxa"/>
            <w:tcBorders>
              <w:top w:val="nil"/>
              <w:left w:val="single" w:color="000000" w:sz="4" w:space="0"/>
              <w:bottom w:val="single" w:color="000000" w:sz="4" w:space="0"/>
              <w:right w:val="single" w:color="000000" w:sz="4" w:space="0"/>
            </w:tcBorders>
          </w:tcPr>
          <w:p w14:paraId="2E57391C">
            <w:pPr>
              <w:jc w:val="center"/>
              <w:rPr>
                <w:rFonts w:ascii="宋体" w:hAnsi="宋体" w:eastAsia="宋体"/>
              </w:rPr>
            </w:pPr>
            <w:r>
              <w:rPr>
                <w:rFonts w:ascii="宋体" w:hAnsi="宋体" w:eastAsia="宋体"/>
                <w:sz w:val="24"/>
              </w:rPr>
              <w:t>做好公众来访、厂群沟通、信息宣传等综治维稳相关工作</w:t>
            </w:r>
          </w:p>
        </w:tc>
        <w:tc>
          <w:tcPr>
            <w:tcW w:w="1351" w:type="dxa"/>
            <w:tcBorders>
              <w:top w:val="nil"/>
              <w:left w:val="single" w:color="000000" w:sz="4" w:space="0"/>
              <w:bottom w:val="single" w:color="000000" w:sz="4" w:space="0"/>
              <w:right w:val="single" w:color="000000" w:sz="4" w:space="0"/>
            </w:tcBorders>
          </w:tcPr>
          <w:p w14:paraId="11B240F0">
            <w:pPr>
              <w:jc w:val="center"/>
              <w:rPr>
                <w:rFonts w:ascii="宋体" w:hAnsi="宋体" w:eastAsia="宋体"/>
              </w:rPr>
            </w:pPr>
            <w:r>
              <w:rPr>
                <w:rFonts w:ascii="宋体" w:hAnsi="宋体" w:eastAsia="宋体"/>
                <w:sz w:val="24"/>
              </w:rPr>
              <w:t>发生综治维稳工作相关有责问题</w:t>
            </w:r>
          </w:p>
        </w:tc>
        <w:tc>
          <w:tcPr>
            <w:tcW w:w="810" w:type="dxa"/>
            <w:tcBorders>
              <w:top w:val="nil"/>
              <w:left w:val="single" w:color="000000" w:sz="4" w:space="0"/>
              <w:bottom w:val="single" w:color="000000" w:sz="4" w:space="0"/>
              <w:right w:val="single" w:color="000000" w:sz="4" w:space="0"/>
            </w:tcBorders>
          </w:tcPr>
          <w:p w14:paraId="2F272A39">
            <w:pPr>
              <w:jc w:val="center"/>
              <w:rPr>
                <w:rFonts w:ascii="宋体" w:hAnsi="宋体" w:eastAsia="宋体"/>
              </w:rPr>
            </w:pPr>
            <w:r>
              <w:rPr>
                <w:rFonts w:ascii="宋体" w:hAnsi="宋体" w:eastAsia="宋体"/>
                <w:sz w:val="24"/>
              </w:rPr>
              <w:t>扣5分</w:t>
            </w:r>
          </w:p>
        </w:tc>
      </w:tr>
      <w:tr w14:paraId="6ACDB0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2F7466D8">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5C1118A">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044205E0">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225523BE">
            <w:pPr>
              <w:jc w:val="center"/>
              <w:rPr>
                <w:rFonts w:ascii="宋体" w:hAnsi="宋体" w:eastAsia="宋体"/>
              </w:rPr>
            </w:pPr>
            <w:r>
              <w:rPr>
                <w:rFonts w:ascii="宋体" w:hAnsi="宋体" w:eastAsia="宋体"/>
                <w:sz w:val="24"/>
              </w:rPr>
              <w:t>37</w:t>
            </w:r>
          </w:p>
        </w:tc>
        <w:tc>
          <w:tcPr>
            <w:tcW w:w="3043" w:type="dxa"/>
            <w:tcBorders>
              <w:top w:val="nil"/>
              <w:left w:val="single" w:color="000000" w:sz="4" w:space="0"/>
              <w:bottom w:val="single" w:color="000000" w:sz="4" w:space="0"/>
              <w:right w:val="single" w:color="000000" w:sz="4" w:space="0"/>
            </w:tcBorders>
          </w:tcPr>
          <w:p w14:paraId="61CB56B5">
            <w:pPr>
              <w:jc w:val="center"/>
              <w:rPr>
                <w:rFonts w:ascii="宋体" w:hAnsi="宋体" w:eastAsia="宋体"/>
              </w:rPr>
            </w:pPr>
            <w:r>
              <w:rPr>
                <w:rFonts w:ascii="宋体" w:hAnsi="宋体" w:eastAsia="宋体"/>
                <w:sz w:val="24"/>
              </w:rPr>
              <w:t>填埋区周边整体环境与综合秩序良好，安保、保洁、防四害、车辆充电停放等工作管理有序</w:t>
            </w:r>
          </w:p>
        </w:tc>
        <w:tc>
          <w:tcPr>
            <w:tcW w:w="1351" w:type="dxa"/>
            <w:tcBorders>
              <w:top w:val="nil"/>
              <w:left w:val="single" w:color="000000" w:sz="4" w:space="0"/>
              <w:bottom w:val="single" w:color="000000" w:sz="4" w:space="0"/>
              <w:right w:val="single" w:color="000000" w:sz="4" w:space="0"/>
            </w:tcBorders>
          </w:tcPr>
          <w:p w14:paraId="762F2C38">
            <w:pPr>
              <w:jc w:val="center"/>
              <w:rPr>
                <w:rFonts w:ascii="宋体" w:hAnsi="宋体" w:eastAsia="宋体"/>
              </w:rPr>
            </w:pPr>
            <w:r>
              <w:rPr>
                <w:rFonts w:ascii="宋体" w:hAnsi="宋体" w:eastAsia="宋体"/>
                <w:sz w:val="24"/>
              </w:rPr>
              <w:t>场区环境与秩序管理不到位，造成不良影响的</w:t>
            </w:r>
          </w:p>
        </w:tc>
        <w:tc>
          <w:tcPr>
            <w:tcW w:w="810" w:type="dxa"/>
            <w:tcBorders>
              <w:top w:val="nil"/>
              <w:left w:val="single" w:color="000000" w:sz="4" w:space="0"/>
              <w:bottom w:val="single" w:color="000000" w:sz="4" w:space="0"/>
              <w:right w:val="single" w:color="000000" w:sz="4" w:space="0"/>
            </w:tcBorders>
          </w:tcPr>
          <w:p w14:paraId="2A24FF49">
            <w:pPr>
              <w:jc w:val="center"/>
              <w:rPr>
                <w:rFonts w:ascii="宋体" w:hAnsi="宋体" w:eastAsia="宋体"/>
              </w:rPr>
            </w:pPr>
            <w:r>
              <w:rPr>
                <w:rFonts w:ascii="宋体" w:hAnsi="宋体" w:eastAsia="宋体"/>
                <w:sz w:val="24"/>
              </w:rPr>
              <w:t>扣0.5分</w:t>
            </w:r>
          </w:p>
        </w:tc>
      </w:tr>
      <w:tr w14:paraId="64995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restart"/>
            <w:tcBorders>
              <w:top w:val="nil"/>
              <w:left w:val="single" w:color="000000" w:sz="4" w:space="0"/>
              <w:bottom w:val="single" w:color="000000" w:sz="4" w:space="0"/>
              <w:right w:val="single" w:color="000000" w:sz="4" w:space="0"/>
            </w:tcBorders>
          </w:tcPr>
          <w:p w14:paraId="7EEEC2F2">
            <w:pPr>
              <w:jc w:val="center"/>
              <w:rPr>
                <w:rFonts w:ascii="宋体" w:hAnsi="宋体" w:eastAsia="宋体"/>
              </w:rPr>
            </w:pPr>
            <w:r>
              <w:rPr>
                <w:rFonts w:ascii="宋体" w:hAnsi="宋体" w:eastAsia="宋体"/>
                <w:sz w:val="24"/>
              </w:rPr>
              <w:t>四</w:t>
            </w:r>
            <w:r>
              <w:rPr>
                <w:rFonts w:ascii="宋体" w:hAnsi="宋体" w:eastAsia="宋体"/>
              </w:rPr>
              <w:br w:type="textWrapping"/>
            </w:r>
            <w:r>
              <w:rPr>
                <w:rFonts w:ascii="宋体" w:hAnsi="宋体" w:eastAsia="宋体"/>
              </w:rPr>
              <w:br w:type="textWrapping"/>
            </w:r>
            <w:r>
              <w:rPr>
                <w:rFonts w:ascii="宋体" w:hAnsi="宋体" w:eastAsia="宋体"/>
                <w:sz w:val="24"/>
              </w:rPr>
              <w:t>运营文件审查</w:t>
            </w:r>
            <w:r>
              <w:rPr>
                <w:rFonts w:ascii="宋体" w:hAnsi="宋体" w:eastAsia="宋体"/>
              </w:rPr>
              <w:br w:type="textWrapping"/>
            </w:r>
            <w:r>
              <w:rPr>
                <w:rFonts w:ascii="宋体" w:hAnsi="宋体" w:eastAsia="宋体"/>
                <w:sz w:val="24"/>
              </w:rPr>
              <w:t>10分</w:t>
            </w:r>
          </w:p>
        </w:tc>
        <w:tc>
          <w:tcPr>
            <w:tcW w:w="369" w:type="dxa"/>
            <w:tcBorders>
              <w:top w:val="nil"/>
              <w:left w:val="single" w:color="000000" w:sz="4" w:space="0"/>
              <w:bottom w:val="single" w:color="000000" w:sz="4" w:space="0"/>
              <w:right w:val="single" w:color="000000" w:sz="4" w:space="0"/>
            </w:tcBorders>
          </w:tcPr>
          <w:p w14:paraId="5AA2DE00">
            <w:pPr>
              <w:jc w:val="center"/>
              <w:rPr>
                <w:rFonts w:ascii="宋体" w:hAnsi="宋体" w:eastAsia="宋体"/>
              </w:rPr>
            </w:pPr>
            <w:r>
              <w:rPr>
                <w:rFonts w:ascii="宋体" w:hAnsi="宋体" w:eastAsia="宋体"/>
                <w:sz w:val="24"/>
              </w:rPr>
              <w:t>10</w:t>
            </w:r>
          </w:p>
        </w:tc>
        <w:tc>
          <w:tcPr>
            <w:tcW w:w="1422" w:type="dxa"/>
            <w:tcBorders>
              <w:top w:val="nil"/>
              <w:left w:val="single" w:color="000000" w:sz="4" w:space="0"/>
              <w:bottom w:val="single" w:color="000000" w:sz="4" w:space="0"/>
              <w:right w:val="single" w:color="000000" w:sz="4" w:space="0"/>
            </w:tcBorders>
          </w:tcPr>
          <w:p w14:paraId="655AA125">
            <w:pPr>
              <w:jc w:val="center"/>
              <w:rPr>
                <w:rFonts w:ascii="宋体" w:hAnsi="宋体" w:eastAsia="宋体"/>
              </w:rPr>
            </w:pPr>
            <w:r>
              <w:rPr>
                <w:rFonts w:ascii="宋体" w:hAnsi="宋体" w:eastAsia="宋体"/>
                <w:sz w:val="24"/>
              </w:rPr>
              <w:t>日报项</w:t>
            </w:r>
          </w:p>
        </w:tc>
        <w:tc>
          <w:tcPr>
            <w:tcW w:w="426" w:type="dxa"/>
            <w:tcBorders>
              <w:top w:val="nil"/>
              <w:left w:val="single" w:color="000000" w:sz="4" w:space="0"/>
              <w:bottom w:val="single" w:color="000000" w:sz="4" w:space="0"/>
              <w:right w:val="single" w:color="000000" w:sz="4" w:space="0"/>
            </w:tcBorders>
          </w:tcPr>
          <w:p w14:paraId="06F21AC6">
            <w:pPr>
              <w:jc w:val="center"/>
              <w:rPr>
                <w:rFonts w:ascii="宋体" w:hAnsi="宋体" w:eastAsia="宋体"/>
              </w:rPr>
            </w:pPr>
            <w:r>
              <w:rPr>
                <w:rFonts w:ascii="宋体" w:hAnsi="宋体" w:eastAsia="宋体"/>
                <w:sz w:val="24"/>
              </w:rPr>
              <w:t>38</w:t>
            </w:r>
          </w:p>
        </w:tc>
        <w:tc>
          <w:tcPr>
            <w:tcW w:w="3043" w:type="dxa"/>
            <w:tcBorders>
              <w:top w:val="nil"/>
              <w:left w:val="single" w:color="000000" w:sz="4" w:space="0"/>
              <w:bottom w:val="single" w:color="000000" w:sz="4" w:space="0"/>
              <w:right w:val="single" w:color="000000" w:sz="4" w:space="0"/>
            </w:tcBorders>
          </w:tcPr>
          <w:p w14:paraId="33CC2BD5">
            <w:pPr>
              <w:jc w:val="center"/>
              <w:rPr>
                <w:rFonts w:ascii="宋体" w:hAnsi="宋体" w:eastAsia="宋体"/>
              </w:rPr>
            </w:pPr>
            <w:r>
              <w:rPr>
                <w:rFonts w:ascii="宋体" w:hAnsi="宋体" w:eastAsia="宋体"/>
                <w:sz w:val="24"/>
              </w:rPr>
              <w:t>飞灰进场填埋处理日报（每日上午报送，双休日、节假日顺延）</w:t>
            </w:r>
          </w:p>
        </w:tc>
        <w:tc>
          <w:tcPr>
            <w:tcW w:w="1351" w:type="dxa"/>
            <w:tcBorders>
              <w:top w:val="nil"/>
              <w:left w:val="single" w:color="000000" w:sz="4" w:space="0"/>
              <w:bottom w:val="single" w:color="000000" w:sz="4" w:space="0"/>
              <w:right w:val="single" w:color="000000" w:sz="4" w:space="0"/>
            </w:tcBorders>
          </w:tcPr>
          <w:p w14:paraId="79E690FC">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08987B0F">
            <w:pPr>
              <w:jc w:val="center"/>
              <w:rPr>
                <w:rFonts w:ascii="宋体" w:hAnsi="宋体" w:eastAsia="宋体"/>
              </w:rPr>
            </w:pPr>
            <w:r>
              <w:rPr>
                <w:rFonts w:ascii="宋体" w:hAnsi="宋体" w:eastAsia="宋体"/>
                <w:sz w:val="24"/>
              </w:rPr>
              <w:t>每次扣1分</w:t>
            </w:r>
          </w:p>
        </w:tc>
      </w:tr>
      <w:tr w14:paraId="32F67D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0ABC0C6">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1BAE5CC9">
            <w:pPr>
              <w:jc w:val="center"/>
              <w:rPr>
                <w:rFonts w:ascii="宋体" w:hAnsi="宋体" w:eastAsia="宋体"/>
              </w:rPr>
            </w:pPr>
            <w:r>
              <w:rPr>
                <w:rFonts w:ascii="宋体" w:hAnsi="宋体" w:eastAsia="宋体"/>
                <w:sz w:val="24"/>
              </w:rPr>
              <w:t>11</w:t>
            </w:r>
          </w:p>
        </w:tc>
        <w:tc>
          <w:tcPr>
            <w:tcW w:w="1422" w:type="dxa"/>
            <w:vMerge w:val="restart"/>
            <w:tcBorders>
              <w:top w:val="nil"/>
              <w:left w:val="single" w:color="000000" w:sz="4" w:space="0"/>
              <w:bottom w:val="single" w:color="000000" w:sz="4" w:space="0"/>
              <w:right w:val="single" w:color="000000" w:sz="4" w:space="0"/>
            </w:tcBorders>
          </w:tcPr>
          <w:p w14:paraId="7CD82064">
            <w:pPr>
              <w:jc w:val="center"/>
              <w:rPr>
                <w:rFonts w:ascii="宋体" w:hAnsi="宋体" w:eastAsia="宋体"/>
              </w:rPr>
            </w:pPr>
            <w:r>
              <w:rPr>
                <w:rFonts w:ascii="宋体" w:hAnsi="宋体" w:eastAsia="宋体"/>
                <w:sz w:val="24"/>
              </w:rPr>
              <w:t>月报项</w:t>
            </w:r>
          </w:p>
        </w:tc>
        <w:tc>
          <w:tcPr>
            <w:tcW w:w="426" w:type="dxa"/>
            <w:tcBorders>
              <w:top w:val="nil"/>
              <w:left w:val="single" w:color="000000" w:sz="4" w:space="0"/>
              <w:bottom w:val="single" w:color="000000" w:sz="4" w:space="0"/>
              <w:right w:val="single" w:color="000000" w:sz="4" w:space="0"/>
            </w:tcBorders>
          </w:tcPr>
          <w:p w14:paraId="693E7370">
            <w:pPr>
              <w:jc w:val="center"/>
              <w:rPr>
                <w:rFonts w:ascii="宋体" w:hAnsi="宋体" w:eastAsia="宋体"/>
              </w:rPr>
            </w:pPr>
            <w:r>
              <w:rPr>
                <w:rFonts w:ascii="宋体" w:hAnsi="宋体" w:eastAsia="宋体"/>
                <w:sz w:val="24"/>
              </w:rPr>
              <w:t>39</w:t>
            </w:r>
          </w:p>
        </w:tc>
        <w:tc>
          <w:tcPr>
            <w:tcW w:w="3043" w:type="dxa"/>
            <w:tcBorders>
              <w:top w:val="nil"/>
              <w:left w:val="single" w:color="000000" w:sz="4" w:space="0"/>
              <w:bottom w:val="single" w:color="000000" w:sz="4" w:space="0"/>
              <w:right w:val="single" w:color="000000" w:sz="4" w:space="0"/>
            </w:tcBorders>
          </w:tcPr>
          <w:p w14:paraId="345484F1">
            <w:pPr>
              <w:jc w:val="center"/>
              <w:rPr>
                <w:rFonts w:ascii="宋体" w:hAnsi="宋体" w:eastAsia="宋体"/>
              </w:rPr>
            </w:pPr>
            <w:r>
              <w:rPr>
                <w:rFonts w:ascii="宋体" w:hAnsi="宋体" w:eastAsia="宋体"/>
                <w:sz w:val="24"/>
              </w:rPr>
              <w:t>飞灰月报与转运台账（每月5号前报送</w:t>
            </w:r>
            <w:r>
              <w:rPr>
                <w:rFonts w:hint="eastAsia" w:ascii="宋体" w:hAnsi="宋体" w:eastAsia="宋体" w:cs="宋体"/>
                <w:sz w:val="24"/>
              </w:rPr>
              <w:t>，双休日、节假日顺延</w:t>
            </w:r>
            <w:r>
              <w:rPr>
                <w:rFonts w:ascii="宋体" w:hAnsi="宋体" w:eastAsia="宋体"/>
                <w:sz w:val="24"/>
              </w:rPr>
              <w:t>）</w:t>
            </w:r>
          </w:p>
        </w:tc>
        <w:tc>
          <w:tcPr>
            <w:tcW w:w="1351" w:type="dxa"/>
            <w:tcBorders>
              <w:top w:val="nil"/>
              <w:left w:val="single" w:color="000000" w:sz="4" w:space="0"/>
              <w:bottom w:val="single" w:color="000000" w:sz="4" w:space="0"/>
              <w:right w:val="single" w:color="000000" w:sz="4" w:space="0"/>
            </w:tcBorders>
          </w:tcPr>
          <w:p w14:paraId="3BB9151C">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79502D91">
            <w:pPr>
              <w:jc w:val="center"/>
              <w:rPr>
                <w:rFonts w:ascii="宋体" w:hAnsi="宋体" w:eastAsia="宋体"/>
              </w:rPr>
            </w:pPr>
            <w:r>
              <w:rPr>
                <w:rFonts w:ascii="宋体" w:hAnsi="宋体" w:eastAsia="宋体"/>
                <w:sz w:val="24"/>
              </w:rPr>
              <w:t>每次扣1分</w:t>
            </w:r>
          </w:p>
        </w:tc>
      </w:tr>
      <w:tr w14:paraId="4A3ECD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47750CFF">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2DF575C5">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21DF8A90">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6CA4C38E">
            <w:pPr>
              <w:jc w:val="center"/>
              <w:rPr>
                <w:rFonts w:ascii="宋体" w:hAnsi="宋体" w:eastAsia="宋体"/>
              </w:rPr>
            </w:pPr>
            <w:r>
              <w:rPr>
                <w:rFonts w:ascii="宋体" w:hAnsi="宋体" w:eastAsia="宋体"/>
                <w:sz w:val="24"/>
              </w:rPr>
              <w:t>40</w:t>
            </w:r>
          </w:p>
        </w:tc>
        <w:tc>
          <w:tcPr>
            <w:tcW w:w="3043" w:type="dxa"/>
            <w:tcBorders>
              <w:top w:val="nil"/>
              <w:left w:val="single" w:color="000000" w:sz="4" w:space="0"/>
              <w:bottom w:val="single" w:color="000000" w:sz="4" w:space="0"/>
              <w:right w:val="single" w:color="000000" w:sz="4" w:space="0"/>
            </w:tcBorders>
          </w:tcPr>
          <w:p w14:paraId="0AC13D14">
            <w:pPr>
              <w:jc w:val="center"/>
              <w:rPr>
                <w:rFonts w:ascii="宋体" w:hAnsi="宋体" w:eastAsia="宋体"/>
              </w:rPr>
            </w:pPr>
            <w:r>
              <w:rPr>
                <w:rFonts w:hint="eastAsia"/>
              </w:rPr>
              <w:t>营运期环境监测计划表</w:t>
            </w:r>
            <w:r>
              <w:rPr>
                <w:rFonts w:hint="eastAsia" w:ascii="宋体" w:hAnsi="宋体" w:eastAsia="宋体"/>
              </w:rPr>
              <w:t>要求的内容</w:t>
            </w:r>
          </w:p>
        </w:tc>
        <w:tc>
          <w:tcPr>
            <w:tcW w:w="1351" w:type="dxa"/>
            <w:tcBorders>
              <w:top w:val="nil"/>
              <w:left w:val="single" w:color="000000" w:sz="4" w:space="0"/>
              <w:bottom w:val="single" w:color="000000" w:sz="4" w:space="0"/>
              <w:right w:val="single" w:color="000000" w:sz="4" w:space="0"/>
            </w:tcBorders>
          </w:tcPr>
          <w:p w14:paraId="02577E26">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16EEE123">
            <w:pPr>
              <w:jc w:val="center"/>
              <w:rPr>
                <w:rFonts w:ascii="宋体" w:hAnsi="宋体" w:eastAsia="宋体"/>
              </w:rPr>
            </w:pPr>
            <w:r>
              <w:rPr>
                <w:rFonts w:ascii="宋体" w:hAnsi="宋体" w:eastAsia="宋体"/>
                <w:sz w:val="24"/>
              </w:rPr>
              <w:t>每次扣1分</w:t>
            </w:r>
          </w:p>
        </w:tc>
      </w:tr>
      <w:tr w14:paraId="78023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6F439A1E">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68209024">
            <w:pPr>
              <w:jc w:val="center"/>
              <w:rPr>
                <w:rFonts w:ascii="宋体" w:hAnsi="宋体" w:eastAsia="宋体"/>
              </w:rPr>
            </w:pPr>
            <w:r>
              <w:rPr>
                <w:rFonts w:ascii="宋体" w:hAnsi="宋体" w:eastAsia="宋体"/>
                <w:sz w:val="24"/>
              </w:rPr>
              <w:t>12</w:t>
            </w:r>
          </w:p>
        </w:tc>
        <w:tc>
          <w:tcPr>
            <w:tcW w:w="1422" w:type="dxa"/>
            <w:vMerge w:val="restart"/>
            <w:tcBorders>
              <w:top w:val="nil"/>
              <w:left w:val="single" w:color="000000" w:sz="4" w:space="0"/>
              <w:bottom w:val="single" w:color="000000" w:sz="4" w:space="0"/>
              <w:right w:val="single" w:color="000000" w:sz="4" w:space="0"/>
            </w:tcBorders>
          </w:tcPr>
          <w:p w14:paraId="796FFBC1">
            <w:pPr>
              <w:jc w:val="center"/>
              <w:rPr>
                <w:rFonts w:ascii="宋体" w:hAnsi="宋体" w:eastAsia="宋体"/>
              </w:rPr>
            </w:pPr>
            <w:r>
              <w:rPr>
                <w:rFonts w:ascii="宋体" w:hAnsi="宋体" w:eastAsia="宋体"/>
                <w:sz w:val="24"/>
              </w:rPr>
              <w:t>年报项</w:t>
            </w:r>
          </w:p>
        </w:tc>
        <w:tc>
          <w:tcPr>
            <w:tcW w:w="426" w:type="dxa"/>
            <w:tcBorders>
              <w:top w:val="nil"/>
              <w:left w:val="single" w:color="000000" w:sz="4" w:space="0"/>
              <w:bottom w:val="single" w:color="000000" w:sz="4" w:space="0"/>
              <w:right w:val="single" w:color="000000" w:sz="4" w:space="0"/>
            </w:tcBorders>
          </w:tcPr>
          <w:p w14:paraId="348CC6AA">
            <w:pPr>
              <w:jc w:val="center"/>
              <w:rPr>
                <w:rFonts w:ascii="宋体" w:hAnsi="宋体" w:eastAsia="宋体"/>
              </w:rPr>
            </w:pPr>
            <w:r>
              <w:rPr>
                <w:rFonts w:ascii="宋体" w:hAnsi="宋体" w:eastAsia="宋体"/>
                <w:sz w:val="24"/>
              </w:rPr>
              <w:t>41</w:t>
            </w:r>
          </w:p>
        </w:tc>
        <w:tc>
          <w:tcPr>
            <w:tcW w:w="3043" w:type="dxa"/>
            <w:tcBorders>
              <w:top w:val="nil"/>
              <w:left w:val="single" w:color="000000" w:sz="4" w:space="0"/>
              <w:bottom w:val="single" w:color="000000" w:sz="4" w:space="0"/>
              <w:right w:val="single" w:color="000000" w:sz="4" w:space="0"/>
            </w:tcBorders>
          </w:tcPr>
          <w:p w14:paraId="3CF24E9C">
            <w:pPr>
              <w:jc w:val="center"/>
              <w:rPr>
                <w:rFonts w:ascii="宋体" w:hAnsi="宋体" w:eastAsia="宋体"/>
              </w:rPr>
            </w:pPr>
            <w:r>
              <w:rPr>
                <w:rFonts w:hint="eastAsia" w:ascii="宋体" w:hAnsi="宋体" w:eastAsia="宋体"/>
                <w:sz w:val="24"/>
              </w:rPr>
              <w:t>日常</w:t>
            </w:r>
            <w:r>
              <w:rPr>
                <w:rFonts w:ascii="宋体" w:hAnsi="宋体" w:eastAsia="宋体"/>
                <w:sz w:val="24"/>
              </w:rPr>
              <w:t>定期检测计划（每年12月份报送）</w:t>
            </w:r>
          </w:p>
        </w:tc>
        <w:tc>
          <w:tcPr>
            <w:tcW w:w="1351" w:type="dxa"/>
            <w:tcBorders>
              <w:top w:val="nil"/>
              <w:left w:val="single" w:color="000000" w:sz="4" w:space="0"/>
              <w:bottom w:val="single" w:color="000000" w:sz="4" w:space="0"/>
              <w:right w:val="single" w:color="000000" w:sz="4" w:space="0"/>
            </w:tcBorders>
          </w:tcPr>
          <w:p w14:paraId="29D84CA4">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2C93FB24">
            <w:pPr>
              <w:jc w:val="center"/>
              <w:rPr>
                <w:rFonts w:ascii="宋体" w:hAnsi="宋体" w:eastAsia="宋体"/>
              </w:rPr>
            </w:pPr>
            <w:r>
              <w:rPr>
                <w:rFonts w:ascii="宋体" w:hAnsi="宋体" w:eastAsia="宋体"/>
                <w:sz w:val="24"/>
              </w:rPr>
              <w:t>每次扣1分</w:t>
            </w:r>
          </w:p>
        </w:tc>
      </w:tr>
      <w:tr w14:paraId="2F4216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13AFF035">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5208CBCF">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115E9F6D">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105FB25B">
            <w:pPr>
              <w:jc w:val="center"/>
              <w:rPr>
                <w:rFonts w:ascii="宋体" w:hAnsi="宋体" w:eastAsia="宋体"/>
              </w:rPr>
            </w:pPr>
            <w:r>
              <w:rPr>
                <w:rFonts w:ascii="宋体" w:hAnsi="宋体" w:eastAsia="宋体"/>
                <w:sz w:val="24"/>
              </w:rPr>
              <w:t>42</w:t>
            </w:r>
          </w:p>
        </w:tc>
        <w:tc>
          <w:tcPr>
            <w:tcW w:w="3043" w:type="dxa"/>
            <w:tcBorders>
              <w:top w:val="nil"/>
              <w:left w:val="single" w:color="000000" w:sz="4" w:space="0"/>
              <w:bottom w:val="single" w:color="000000" w:sz="4" w:space="0"/>
              <w:right w:val="single" w:color="000000" w:sz="4" w:space="0"/>
            </w:tcBorders>
          </w:tcPr>
          <w:p w14:paraId="5AADCFB8">
            <w:pPr>
              <w:jc w:val="center"/>
              <w:rPr>
                <w:rFonts w:ascii="宋体" w:hAnsi="宋体" w:eastAsia="宋体"/>
              </w:rPr>
            </w:pPr>
            <w:r>
              <w:rPr>
                <w:rFonts w:ascii="宋体" w:hAnsi="宋体" w:eastAsia="宋体"/>
                <w:sz w:val="24"/>
              </w:rPr>
              <w:t>培训与应急演练计划（每年12月份报送）</w:t>
            </w:r>
          </w:p>
        </w:tc>
        <w:tc>
          <w:tcPr>
            <w:tcW w:w="1351" w:type="dxa"/>
            <w:tcBorders>
              <w:top w:val="nil"/>
              <w:left w:val="single" w:color="000000" w:sz="4" w:space="0"/>
              <w:bottom w:val="single" w:color="000000" w:sz="4" w:space="0"/>
              <w:right w:val="single" w:color="000000" w:sz="4" w:space="0"/>
            </w:tcBorders>
          </w:tcPr>
          <w:p w14:paraId="44612E49">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237EF59D">
            <w:pPr>
              <w:jc w:val="center"/>
              <w:rPr>
                <w:rFonts w:ascii="宋体" w:hAnsi="宋体" w:eastAsia="宋体"/>
              </w:rPr>
            </w:pPr>
            <w:r>
              <w:rPr>
                <w:rFonts w:ascii="宋体" w:hAnsi="宋体" w:eastAsia="宋体"/>
                <w:sz w:val="24"/>
              </w:rPr>
              <w:t>每次扣1分</w:t>
            </w:r>
          </w:p>
        </w:tc>
      </w:tr>
      <w:tr w14:paraId="4B1EF0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7754276">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76496B8C">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3A71834E">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7EF30C4C">
            <w:pPr>
              <w:jc w:val="center"/>
              <w:rPr>
                <w:rFonts w:ascii="宋体" w:hAnsi="宋体" w:eastAsia="宋体"/>
              </w:rPr>
            </w:pPr>
            <w:r>
              <w:rPr>
                <w:rFonts w:ascii="宋体" w:hAnsi="宋体" w:eastAsia="宋体"/>
                <w:sz w:val="24"/>
              </w:rPr>
              <w:t>43</w:t>
            </w:r>
          </w:p>
        </w:tc>
        <w:tc>
          <w:tcPr>
            <w:tcW w:w="3043" w:type="dxa"/>
            <w:tcBorders>
              <w:top w:val="nil"/>
              <w:left w:val="single" w:color="000000" w:sz="4" w:space="0"/>
              <w:bottom w:val="single" w:color="000000" w:sz="4" w:space="0"/>
              <w:right w:val="single" w:color="000000" w:sz="4" w:space="0"/>
            </w:tcBorders>
          </w:tcPr>
          <w:p w14:paraId="1F224E4E">
            <w:pPr>
              <w:jc w:val="center"/>
              <w:rPr>
                <w:rFonts w:ascii="宋体" w:hAnsi="宋体" w:eastAsia="宋体"/>
              </w:rPr>
            </w:pPr>
            <w:r>
              <w:rPr>
                <w:rFonts w:ascii="宋体" w:hAnsi="宋体" w:eastAsia="宋体"/>
                <w:sz w:val="24"/>
              </w:rPr>
              <w:t>反措与安措计划（每年12月份报送）</w:t>
            </w:r>
          </w:p>
        </w:tc>
        <w:tc>
          <w:tcPr>
            <w:tcW w:w="1351" w:type="dxa"/>
            <w:tcBorders>
              <w:top w:val="nil"/>
              <w:left w:val="single" w:color="000000" w:sz="4" w:space="0"/>
              <w:bottom w:val="single" w:color="000000" w:sz="4" w:space="0"/>
              <w:right w:val="single" w:color="000000" w:sz="4" w:space="0"/>
            </w:tcBorders>
          </w:tcPr>
          <w:p w14:paraId="2F102E9A">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07FBE3C8">
            <w:pPr>
              <w:jc w:val="center"/>
              <w:rPr>
                <w:rFonts w:ascii="宋体" w:hAnsi="宋体" w:eastAsia="宋体"/>
              </w:rPr>
            </w:pPr>
            <w:r>
              <w:rPr>
                <w:rFonts w:ascii="宋体" w:hAnsi="宋体" w:eastAsia="宋体"/>
                <w:sz w:val="24"/>
              </w:rPr>
              <w:t>每次扣1分</w:t>
            </w:r>
          </w:p>
        </w:tc>
      </w:tr>
      <w:tr w14:paraId="724FC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349D2CB1">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EF8C304">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65C42E81">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15D2912A">
            <w:pPr>
              <w:jc w:val="center"/>
              <w:rPr>
                <w:rFonts w:ascii="宋体" w:hAnsi="宋体" w:eastAsia="宋体"/>
              </w:rPr>
            </w:pPr>
            <w:r>
              <w:rPr>
                <w:rFonts w:ascii="宋体" w:hAnsi="宋体" w:eastAsia="宋体"/>
                <w:sz w:val="24"/>
              </w:rPr>
              <w:t>44</w:t>
            </w:r>
          </w:p>
        </w:tc>
        <w:tc>
          <w:tcPr>
            <w:tcW w:w="3043" w:type="dxa"/>
            <w:tcBorders>
              <w:top w:val="nil"/>
              <w:left w:val="single" w:color="000000" w:sz="4" w:space="0"/>
              <w:bottom w:val="single" w:color="000000" w:sz="4" w:space="0"/>
              <w:right w:val="single" w:color="000000" w:sz="4" w:space="0"/>
            </w:tcBorders>
          </w:tcPr>
          <w:p w14:paraId="30936764">
            <w:pPr>
              <w:jc w:val="center"/>
              <w:rPr>
                <w:rFonts w:ascii="宋体" w:hAnsi="宋体" w:eastAsia="宋体"/>
              </w:rPr>
            </w:pPr>
            <w:r>
              <w:rPr>
                <w:rFonts w:ascii="宋体" w:hAnsi="宋体" w:eastAsia="宋体"/>
                <w:sz w:val="24"/>
              </w:rPr>
              <w:t>生产运营年终总结报告（每年1月份报送上年度）</w:t>
            </w:r>
          </w:p>
        </w:tc>
        <w:tc>
          <w:tcPr>
            <w:tcW w:w="1351" w:type="dxa"/>
            <w:tcBorders>
              <w:top w:val="nil"/>
              <w:left w:val="single" w:color="000000" w:sz="4" w:space="0"/>
              <w:bottom w:val="single" w:color="000000" w:sz="4" w:space="0"/>
              <w:right w:val="single" w:color="000000" w:sz="4" w:space="0"/>
            </w:tcBorders>
          </w:tcPr>
          <w:p w14:paraId="5197B953">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0806E155">
            <w:pPr>
              <w:jc w:val="center"/>
              <w:rPr>
                <w:rFonts w:ascii="宋体" w:hAnsi="宋体" w:eastAsia="宋体"/>
              </w:rPr>
            </w:pPr>
            <w:r>
              <w:rPr>
                <w:rFonts w:ascii="宋体" w:hAnsi="宋体" w:eastAsia="宋体"/>
                <w:sz w:val="24"/>
              </w:rPr>
              <w:t>每次扣1分</w:t>
            </w:r>
          </w:p>
        </w:tc>
      </w:tr>
      <w:tr w14:paraId="543D20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0BE6ECA7">
            <w:pPr>
              <w:rPr>
                <w:rFonts w:ascii="宋体" w:hAnsi="宋体" w:eastAsia="宋体"/>
              </w:rPr>
            </w:pPr>
          </w:p>
        </w:tc>
        <w:tc>
          <w:tcPr>
            <w:tcW w:w="369" w:type="dxa"/>
            <w:vMerge w:val="restart"/>
            <w:tcBorders>
              <w:top w:val="nil"/>
              <w:left w:val="single" w:color="000000" w:sz="4" w:space="0"/>
              <w:bottom w:val="single" w:color="000000" w:sz="4" w:space="0"/>
              <w:right w:val="single" w:color="000000" w:sz="4" w:space="0"/>
            </w:tcBorders>
          </w:tcPr>
          <w:p w14:paraId="7421C094">
            <w:pPr>
              <w:jc w:val="center"/>
              <w:rPr>
                <w:rFonts w:ascii="宋体" w:hAnsi="宋体" w:eastAsia="宋体"/>
              </w:rPr>
            </w:pPr>
            <w:r>
              <w:rPr>
                <w:rFonts w:ascii="宋体" w:hAnsi="宋体" w:eastAsia="宋体"/>
                <w:sz w:val="24"/>
              </w:rPr>
              <w:t>13</w:t>
            </w:r>
          </w:p>
        </w:tc>
        <w:tc>
          <w:tcPr>
            <w:tcW w:w="1422" w:type="dxa"/>
            <w:vMerge w:val="restart"/>
            <w:tcBorders>
              <w:top w:val="nil"/>
              <w:left w:val="single" w:color="000000" w:sz="4" w:space="0"/>
              <w:bottom w:val="single" w:color="000000" w:sz="4" w:space="0"/>
              <w:right w:val="single" w:color="000000" w:sz="4" w:space="0"/>
            </w:tcBorders>
          </w:tcPr>
          <w:p w14:paraId="4F1FEF69">
            <w:pPr>
              <w:jc w:val="center"/>
              <w:rPr>
                <w:rFonts w:ascii="宋体" w:hAnsi="宋体" w:eastAsia="宋体"/>
              </w:rPr>
            </w:pPr>
            <w:r>
              <w:rPr>
                <w:rFonts w:ascii="宋体" w:hAnsi="宋体" w:eastAsia="宋体"/>
                <w:sz w:val="24"/>
              </w:rPr>
              <w:t>其他项</w:t>
            </w:r>
          </w:p>
        </w:tc>
        <w:tc>
          <w:tcPr>
            <w:tcW w:w="426" w:type="dxa"/>
            <w:tcBorders>
              <w:top w:val="nil"/>
              <w:left w:val="single" w:color="000000" w:sz="4" w:space="0"/>
              <w:bottom w:val="single" w:color="000000" w:sz="4" w:space="0"/>
              <w:right w:val="single" w:color="000000" w:sz="4" w:space="0"/>
            </w:tcBorders>
          </w:tcPr>
          <w:p w14:paraId="03D0FE33">
            <w:pPr>
              <w:jc w:val="center"/>
              <w:rPr>
                <w:rFonts w:ascii="宋体" w:hAnsi="宋体" w:eastAsia="宋体"/>
              </w:rPr>
            </w:pPr>
            <w:r>
              <w:rPr>
                <w:rFonts w:ascii="宋体" w:hAnsi="宋体" w:eastAsia="宋体"/>
                <w:sz w:val="24"/>
              </w:rPr>
              <w:t>45</w:t>
            </w:r>
          </w:p>
        </w:tc>
        <w:tc>
          <w:tcPr>
            <w:tcW w:w="3043" w:type="dxa"/>
            <w:tcBorders>
              <w:top w:val="nil"/>
              <w:left w:val="single" w:color="000000" w:sz="4" w:space="0"/>
              <w:bottom w:val="single" w:color="000000" w:sz="4" w:space="0"/>
              <w:right w:val="single" w:color="000000" w:sz="4" w:space="0"/>
            </w:tcBorders>
          </w:tcPr>
          <w:p w14:paraId="55FBCB99">
            <w:pPr>
              <w:jc w:val="center"/>
              <w:rPr>
                <w:rFonts w:ascii="宋体" w:hAnsi="宋体" w:eastAsia="宋体"/>
              </w:rPr>
            </w:pPr>
            <w:r>
              <w:rPr>
                <w:rFonts w:ascii="宋体" w:hAnsi="宋体" w:eastAsia="宋体"/>
                <w:sz w:val="24"/>
              </w:rPr>
              <w:t>应急演练方案与总结报告（开展应急演练时）</w:t>
            </w:r>
          </w:p>
        </w:tc>
        <w:tc>
          <w:tcPr>
            <w:tcW w:w="1351" w:type="dxa"/>
            <w:tcBorders>
              <w:top w:val="nil"/>
              <w:left w:val="single" w:color="000000" w:sz="4" w:space="0"/>
              <w:bottom w:val="single" w:color="000000" w:sz="4" w:space="0"/>
              <w:right w:val="single" w:color="000000" w:sz="4" w:space="0"/>
            </w:tcBorders>
          </w:tcPr>
          <w:p w14:paraId="5017A0FB">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2B27CFCA">
            <w:pPr>
              <w:jc w:val="center"/>
              <w:rPr>
                <w:rFonts w:ascii="宋体" w:hAnsi="宋体" w:eastAsia="宋体"/>
              </w:rPr>
            </w:pPr>
            <w:r>
              <w:rPr>
                <w:rFonts w:ascii="宋体" w:hAnsi="宋体" w:eastAsia="宋体"/>
                <w:sz w:val="24"/>
              </w:rPr>
              <w:t>每次扣1分</w:t>
            </w:r>
          </w:p>
        </w:tc>
      </w:tr>
      <w:tr w14:paraId="6E0CE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11DC6733">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39860801">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291E9141">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080CBD31">
            <w:pPr>
              <w:jc w:val="center"/>
              <w:rPr>
                <w:rFonts w:ascii="宋体" w:hAnsi="宋体" w:eastAsia="宋体"/>
              </w:rPr>
            </w:pPr>
            <w:r>
              <w:rPr>
                <w:rFonts w:ascii="宋体" w:hAnsi="宋体" w:eastAsia="宋体"/>
                <w:sz w:val="24"/>
              </w:rPr>
              <w:t>46</w:t>
            </w:r>
          </w:p>
        </w:tc>
        <w:tc>
          <w:tcPr>
            <w:tcW w:w="3043" w:type="dxa"/>
            <w:tcBorders>
              <w:top w:val="nil"/>
              <w:left w:val="single" w:color="000000" w:sz="4" w:space="0"/>
              <w:bottom w:val="single" w:color="000000" w:sz="4" w:space="0"/>
              <w:right w:val="single" w:color="000000" w:sz="4" w:space="0"/>
            </w:tcBorders>
          </w:tcPr>
          <w:p w14:paraId="7EF4238D">
            <w:pPr>
              <w:jc w:val="center"/>
              <w:rPr>
                <w:rFonts w:ascii="宋体" w:hAnsi="宋体" w:eastAsia="宋体"/>
              </w:rPr>
            </w:pPr>
            <w:r>
              <w:rPr>
                <w:rFonts w:ascii="宋体" w:hAnsi="宋体" w:eastAsia="宋体"/>
                <w:sz w:val="24"/>
              </w:rPr>
              <w:t>事件/事故调查报告（处理后报送）</w:t>
            </w:r>
          </w:p>
        </w:tc>
        <w:tc>
          <w:tcPr>
            <w:tcW w:w="1351" w:type="dxa"/>
            <w:tcBorders>
              <w:top w:val="nil"/>
              <w:left w:val="single" w:color="000000" w:sz="4" w:space="0"/>
              <w:bottom w:val="single" w:color="000000" w:sz="4" w:space="0"/>
              <w:right w:val="single" w:color="000000" w:sz="4" w:space="0"/>
            </w:tcBorders>
          </w:tcPr>
          <w:p w14:paraId="78FE5B8B">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30CA3902">
            <w:pPr>
              <w:jc w:val="center"/>
              <w:rPr>
                <w:rFonts w:ascii="宋体" w:hAnsi="宋体" w:eastAsia="宋体"/>
              </w:rPr>
            </w:pPr>
            <w:r>
              <w:rPr>
                <w:rFonts w:ascii="宋体" w:hAnsi="宋体" w:eastAsia="宋体"/>
                <w:sz w:val="24"/>
              </w:rPr>
              <w:t>每次扣1分</w:t>
            </w:r>
          </w:p>
        </w:tc>
      </w:tr>
      <w:tr w14:paraId="5556C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5AC1AA61">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1882CC34">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473256DC">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7EF5C65B">
            <w:pPr>
              <w:jc w:val="center"/>
              <w:rPr>
                <w:rFonts w:ascii="宋体" w:hAnsi="宋体" w:eastAsia="宋体"/>
              </w:rPr>
            </w:pPr>
            <w:r>
              <w:rPr>
                <w:rFonts w:ascii="宋体" w:hAnsi="宋体" w:eastAsia="宋体"/>
                <w:sz w:val="24"/>
              </w:rPr>
              <w:t>47</w:t>
            </w:r>
          </w:p>
        </w:tc>
        <w:tc>
          <w:tcPr>
            <w:tcW w:w="3043" w:type="dxa"/>
            <w:tcBorders>
              <w:top w:val="nil"/>
              <w:left w:val="single" w:color="000000" w:sz="4" w:space="0"/>
              <w:bottom w:val="single" w:color="000000" w:sz="4" w:space="0"/>
              <w:right w:val="single" w:color="000000" w:sz="4" w:space="0"/>
            </w:tcBorders>
          </w:tcPr>
          <w:p w14:paraId="087C247A">
            <w:pPr>
              <w:jc w:val="center"/>
              <w:rPr>
                <w:rFonts w:ascii="宋体" w:hAnsi="宋体" w:eastAsia="宋体"/>
              </w:rPr>
            </w:pPr>
            <w:r>
              <w:rPr>
                <w:rFonts w:ascii="宋体" w:hAnsi="宋体" w:eastAsia="宋体"/>
                <w:sz w:val="24"/>
              </w:rPr>
              <w:t>上级部门要求报送的材料（按相关文件要求报送）</w:t>
            </w:r>
          </w:p>
        </w:tc>
        <w:tc>
          <w:tcPr>
            <w:tcW w:w="1351" w:type="dxa"/>
            <w:tcBorders>
              <w:top w:val="nil"/>
              <w:left w:val="single" w:color="000000" w:sz="4" w:space="0"/>
              <w:bottom w:val="single" w:color="000000" w:sz="4" w:space="0"/>
              <w:right w:val="single" w:color="000000" w:sz="4" w:space="0"/>
            </w:tcBorders>
          </w:tcPr>
          <w:p w14:paraId="394E8200">
            <w:pPr>
              <w:jc w:val="center"/>
              <w:rPr>
                <w:rFonts w:ascii="宋体" w:hAnsi="宋体" w:eastAsia="宋体"/>
              </w:rPr>
            </w:pPr>
            <w:r>
              <w:rPr>
                <w:rFonts w:ascii="宋体" w:hAnsi="宋体" w:eastAsia="宋体"/>
                <w:sz w:val="24"/>
              </w:rPr>
              <w:t>未按时报送</w:t>
            </w:r>
          </w:p>
        </w:tc>
        <w:tc>
          <w:tcPr>
            <w:tcW w:w="810" w:type="dxa"/>
            <w:tcBorders>
              <w:top w:val="nil"/>
              <w:left w:val="single" w:color="000000" w:sz="4" w:space="0"/>
              <w:bottom w:val="single" w:color="000000" w:sz="4" w:space="0"/>
              <w:right w:val="single" w:color="000000" w:sz="4" w:space="0"/>
            </w:tcBorders>
          </w:tcPr>
          <w:p w14:paraId="0654DD42">
            <w:pPr>
              <w:jc w:val="center"/>
              <w:rPr>
                <w:rFonts w:ascii="宋体" w:hAnsi="宋体" w:eastAsia="宋体"/>
              </w:rPr>
            </w:pPr>
            <w:r>
              <w:rPr>
                <w:rFonts w:ascii="宋体" w:hAnsi="宋体" w:eastAsia="宋体"/>
                <w:sz w:val="24"/>
              </w:rPr>
              <w:t>每次扣1分</w:t>
            </w:r>
          </w:p>
        </w:tc>
      </w:tr>
      <w:tr w14:paraId="28EFB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vMerge w:val="continue"/>
            <w:tcBorders>
              <w:top w:val="nil"/>
              <w:left w:val="single" w:color="000000" w:sz="4" w:space="0"/>
              <w:bottom w:val="single" w:color="000000" w:sz="4" w:space="0"/>
              <w:right w:val="single" w:color="000000" w:sz="4" w:space="0"/>
            </w:tcBorders>
          </w:tcPr>
          <w:p w14:paraId="06DE60FC">
            <w:pPr>
              <w:rPr>
                <w:rFonts w:ascii="宋体" w:hAnsi="宋体" w:eastAsia="宋体"/>
              </w:rPr>
            </w:pPr>
          </w:p>
        </w:tc>
        <w:tc>
          <w:tcPr>
            <w:tcW w:w="369" w:type="dxa"/>
            <w:vMerge w:val="continue"/>
            <w:tcBorders>
              <w:top w:val="nil"/>
              <w:left w:val="single" w:color="000000" w:sz="4" w:space="0"/>
              <w:bottom w:val="single" w:color="000000" w:sz="4" w:space="0"/>
              <w:right w:val="single" w:color="000000" w:sz="4" w:space="0"/>
            </w:tcBorders>
          </w:tcPr>
          <w:p w14:paraId="22C48FE6">
            <w:pPr>
              <w:rPr>
                <w:rFonts w:ascii="宋体" w:hAnsi="宋体" w:eastAsia="宋体"/>
              </w:rPr>
            </w:pPr>
          </w:p>
        </w:tc>
        <w:tc>
          <w:tcPr>
            <w:tcW w:w="1422" w:type="dxa"/>
            <w:vMerge w:val="continue"/>
            <w:tcBorders>
              <w:top w:val="nil"/>
              <w:left w:val="single" w:color="000000" w:sz="4" w:space="0"/>
              <w:bottom w:val="single" w:color="000000" w:sz="4" w:space="0"/>
              <w:right w:val="single" w:color="000000" w:sz="4" w:space="0"/>
            </w:tcBorders>
          </w:tcPr>
          <w:p w14:paraId="02D7A115">
            <w:pPr>
              <w:rPr>
                <w:rFonts w:ascii="宋体" w:hAnsi="宋体" w:eastAsia="宋体"/>
              </w:rPr>
            </w:pPr>
          </w:p>
        </w:tc>
        <w:tc>
          <w:tcPr>
            <w:tcW w:w="426" w:type="dxa"/>
            <w:tcBorders>
              <w:top w:val="nil"/>
              <w:left w:val="single" w:color="000000" w:sz="4" w:space="0"/>
              <w:bottom w:val="single" w:color="000000" w:sz="4" w:space="0"/>
              <w:right w:val="single" w:color="000000" w:sz="4" w:space="0"/>
            </w:tcBorders>
          </w:tcPr>
          <w:p w14:paraId="3D980757">
            <w:pPr>
              <w:jc w:val="center"/>
              <w:rPr>
                <w:rFonts w:ascii="宋体" w:hAnsi="宋体" w:eastAsia="宋体"/>
              </w:rPr>
            </w:pPr>
            <w:r>
              <w:rPr>
                <w:rFonts w:ascii="宋体" w:hAnsi="宋体" w:eastAsia="宋体"/>
                <w:sz w:val="24"/>
              </w:rPr>
              <w:t>48</w:t>
            </w:r>
          </w:p>
        </w:tc>
        <w:tc>
          <w:tcPr>
            <w:tcW w:w="3043" w:type="dxa"/>
            <w:tcBorders>
              <w:top w:val="nil"/>
              <w:left w:val="single" w:color="000000" w:sz="4" w:space="0"/>
              <w:bottom w:val="single" w:color="000000" w:sz="4" w:space="0"/>
              <w:right w:val="single" w:color="000000" w:sz="4" w:space="0"/>
            </w:tcBorders>
          </w:tcPr>
          <w:p w14:paraId="2DD9DF67">
            <w:pPr>
              <w:jc w:val="center"/>
              <w:rPr>
                <w:rFonts w:ascii="宋体" w:hAnsi="宋体" w:eastAsia="宋体"/>
              </w:rPr>
            </w:pPr>
            <w:r>
              <w:rPr>
                <w:rFonts w:ascii="宋体" w:hAnsi="宋体" w:eastAsia="宋体"/>
                <w:sz w:val="24"/>
              </w:rPr>
              <w:t>其它</w:t>
            </w:r>
          </w:p>
        </w:tc>
        <w:tc>
          <w:tcPr>
            <w:tcW w:w="1351" w:type="dxa"/>
            <w:tcBorders>
              <w:top w:val="nil"/>
              <w:left w:val="single" w:color="000000" w:sz="4" w:space="0"/>
              <w:bottom w:val="single" w:color="000000" w:sz="4" w:space="0"/>
              <w:right w:val="single" w:color="000000" w:sz="4" w:space="0"/>
            </w:tcBorders>
          </w:tcPr>
          <w:p w14:paraId="3F25DCA8">
            <w:pPr>
              <w:jc w:val="center"/>
              <w:rPr>
                <w:rFonts w:ascii="宋体" w:hAnsi="宋体" w:eastAsia="宋体"/>
              </w:rPr>
            </w:pPr>
            <w:r>
              <w:rPr>
                <w:rFonts w:ascii="宋体" w:hAnsi="宋体" w:eastAsia="宋体"/>
                <w:sz w:val="24"/>
              </w:rPr>
              <w:t>报送材料存在错漏</w:t>
            </w:r>
          </w:p>
        </w:tc>
        <w:tc>
          <w:tcPr>
            <w:tcW w:w="810" w:type="dxa"/>
            <w:tcBorders>
              <w:top w:val="nil"/>
              <w:left w:val="single" w:color="000000" w:sz="4" w:space="0"/>
              <w:bottom w:val="single" w:color="000000" w:sz="4" w:space="0"/>
              <w:right w:val="single" w:color="000000" w:sz="4" w:space="0"/>
            </w:tcBorders>
          </w:tcPr>
          <w:p w14:paraId="77596ECA">
            <w:pPr>
              <w:jc w:val="center"/>
              <w:rPr>
                <w:rFonts w:ascii="宋体" w:hAnsi="宋体" w:eastAsia="宋体"/>
              </w:rPr>
            </w:pPr>
            <w:r>
              <w:rPr>
                <w:rFonts w:ascii="宋体" w:hAnsi="宋体" w:eastAsia="宋体"/>
                <w:sz w:val="24"/>
              </w:rPr>
              <w:t>当月累计每5处错漏扣1分</w:t>
            </w:r>
          </w:p>
        </w:tc>
      </w:tr>
    </w:tbl>
    <w:p w14:paraId="65563FE3">
      <w:pPr>
        <w:spacing w:line="360" w:lineRule="auto"/>
        <w:rPr>
          <w:rFonts w:ascii="宋体" w:hAnsi="宋体" w:eastAsia="宋体"/>
        </w:rPr>
      </w:pPr>
      <w:r>
        <w:rPr>
          <w:rFonts w:ascii="宋体" w:hAnsi="宋体" w:eastAsia="宋体"/>
          <w:b/>
          <w:sz w:val="24"/>
        </w:rPr>
        <w:t>四、服务验收</w:t>
      </w:r>
    </w:p>
    <w:p w14:paraId="0FB7380E">
      <w:pPr>
        <w:spacing w:line="360" w:lineRule="auto"/>
        <w:ind w:firstLine="480"/>
        <w:rPr>
          <w:rFonts w:ascii="宋体" w:hAnsi="宋体" w:eastAsia="宋体"/>
        </w:rPr>
      </w:pPr>
      <w:r>
        <w:rPr>
          <w:rFonts w:ascii="宋体" w:hAnsi="宋体" w:eastAsia="宋体"/>
          <w:sz w:val="24"/>
        </w:rPr>
        <w:t>甲方依照《高州市飞灰填埋场运营监管考核办法》对乙方进行月度考核。</w:t>
      </w:r>
    </w:p>
    <w:p w14:paraId="662C61C4">
      <w:pPr>
        <w:spacing w:line="360" w:lineRule="auto"/>
        <w:rPr>
          <w:rFonts w:ascii="宋体" w:hAnsi="宋体" w:eastAsia="宋体"/>
          <w:b/>
          <w:sz w:val="24"/>
        </w:rPr>
      </w:pPr>
      <w:r>
        <w:rPr>
          <w:rFonts w:ascii="宋体" w:hAnsi="宋体" w:eastAsia="宋体"/>
          <w:b/>
          <w:sz w:val="24"/>
        </w:rPr>
        <w:t>五、</w:t>
      </w:r>
      <w:r>
        <w:rPr>
          <w:rFonts w:hint="eastAsia" w:ascii="宋体" w:hAnsi="宋体" w:eastAsia="宋体"/>
          <w:b/>
          <w:sz w:val="24"/>
        </w:rPr>
        <w:t>价款及</w:t>
      </w:r>
      <w:r>
        <w:rPr>
          <w:rFonts w:ascii="宋体" w:hAnsi="宋体" w:eastAsia="宋体"/>
          <w:b/>
          <w:sz w:val="24"/>
        </w:rPr>
        <w:t>付款方式</w:t>
      </w:r>
    </w:p>
    <w:p w14:paraId="47E3E15E">
      <w:pPr>
        <w:spacing w:line="360" w:lineRule="auto"/>
        <w:ind w:firstLine="480"/>
        <w:rPr>
          <w:rFonts w:ascii="宋体" w:hAnsi="宋体" w:eastAsia="宋体" w:cs="Times New Roman"/>
          <w:sz w:val="24"/>
          <w:szCs w:val="28"/>
        </w:rPr>
      </w:pPr>
      <w:r>
        <w:rPr>
          <w:rFonts w:hint="eastAsia" w:ascii="宋体" w:hAnsi="宋体" w:eastAsia="宋体"/>
          <w:sz w:val="24"/>
        </w:rPr>
        <w:t>暂定合同总价（含税）：</w:t>
      </w:r>
      <w:r>
        <w:rPr>
          <w:rFonts w:hint="eastAsia" w:ascii="宋体" w:hAnsi="宋体" w:eastAsia="宋体"/>
          <w:sz w:val="24"/>
          <w:lang w:val="en-US" w:eastAsia="zh-CN"/>
        </w:rPr>
        <w:t>0</w:t>
      </w:r>
      <w:r>
        <w:rPr>
          <w:rFonts w:ascii="宋体" w:hAnsi="宋体" w:eastAsia="宋体"/>
          <w:sz w:val="24"/>
        </w:rPr>
        <w:t>.00</w:t>
      </w:r>
      <w:r>
        <w:rPr>
          <w:rFonts w:hint="eastAsia" w:ascii="宋体" w:hAnsi="宋体" w:eastAsia="宋体"/>
          <w:sz w:val="24"/>
        </w:rPr>
        <w:t xml:space="preserve"> 元 人民币大写：</w:t>
      </w:r>
      <w:r>
        <w:rPr>
          <w:rFonts w:hint="eastAsia" w:ascii="宋体" w:hAnsi="宋体" w:eastAsia="宋体"/>
          <w:sz w:val="24"/>
          <w:lang w:val="en-US" w:eastAsia="zh-CN"/>
        </w:rPr>
        <w:t xml:space="preserve">   </w:t>
      </w:r>
      <w:r>
        <w:rPr>
          <w:rFonts w:hint="eastAsia" w:ascii="宋体" w:hAnsi="宋体" w:eastAsia="宋体"/>
          <w:sz w:val="24"/>
        </w:rPr>
        <w:t>元整，</w:t>
      </w:r>
      <w:r>
        <w:rPr>
          <w:rFonts w:hint="eastAsia" w:ascii="宋体" w:hAnsi="宋体" w:eastAsia="宋体" w:cs="Times New Roman"/>
          <w:sz w:val="24"/>
          <w:szCs w:val="28"/>
        </w:rPr>
        <w:t>其中不含税价格为</w:t>
      </w:r>
      <w:r>
        <w:rPr>
          <w:rFonts w:hint="eastAsia" w:ascii="宋体" w:hAnsi="宋体" w:eastAsia="宋体" w:cs="Times New Roman"/>
          <w:sz w:val="24"/>
          <w:szCs w:val="28"/>
          <w:lang w:val="en-US" w:eastAsia="zh-CN"/>
        </w:rPr>
        <w:t>0</w:t>
      </w:r>
      <w:r>
        <w:rPr>
          <w:rFonts w:ascii="宋体" w:hAnsi="宋体" w:eastAsia="宋体" w:cs="Times New Roman"/>
          <w:sz w:val="24"/>
          <w:szCs w:val="28"/>
        </w:rPr>
        <w:t>.</w:t>
      </w:r>
      <w:r>
        <w:rPr>
          <w:rFonts w:hint="eastAsia" w:ascii="宋体" w:hAnsi="宋体" w:eastAsia="宋体" w:cs="Times New Roman"/>
          <w:sz w:val="24"/>
          <w:szCs w:val="28"/>
          <w:lang w:val="en-US" w:eastAsia="zh-CN"/>
        </w:rPr>
        <w:t>00</w:t>
      </w:r>
      <w:r>
        <w:rPr>
          <w:rFonts w:hint="eastAsia" w:ascii="宋体" w:hAnsi="宋体" w:eastAsia="宋体" w:cs="Times New Roman"/>
          <w:sz w:val="24"/>
          <w:szCs w:val="28"/>
        </w:rPr>
        <w:t>元，增值税</w:t>
      </w:r>
      <w:r>
        <w:rPr>
          <w:rFonts w:hint="eastAsia" w:ascii="宋体" w:hAnsi="宋体" w:eastAsia="宋体" w:cs="Times New Roman"/>
          <w:sz w:val="24"/>
          <w:szCs w:val="28"/>
          <w:lang w:val="en-US" w:eastAsia="zh-CN"/>
        </w:rPr>
        <w:t>0</w:t>
      </w:r>
      <w:r>
        <w:rPr>
          <w:rFonts w:ascii="宋体" w:hAnsi="宋体" w:eastAsia="宋体" w:cs="Times New Roman"/>
          <w:sz w:val="24"/>
          <w:szCs w:val="28"/>
        </w:rPr>
        <w:t>.</w:t>
      </w:r>
      <w:r>
        <w:rPr>
          <w:rFonts w:hint="eastAsia" w:ascii="宋体" w:hAnsi="宋体" w:eastAsia="宋体" w:cs="Times New Roman"/>
          <w:sz w:val="24"/>
          <w:szCs w:val="28"/>
          <w:lang w:val="en-US" w:eastAsia="zh-CN"/>
        </w:rPr>
        <w:t>00</w:t>
      </w:r>
      <w:r>
        <w:rPr>
          <w:rFonts w:hint="eastAsia" w:ascii="宋体" w:hAnsi="宋体" w:eastAsia="宋体" w:cs="Times New Roman"/>
          <w:sz w:val="24"/>
          <w:szCs w:val="28"/>
        </w:rPr>
        <w:t>元。最终结算总价以实际结算金额为准。</w:t>
      </w:r>
    </w:p>
    <w:p w14:paraId="30EA10F3">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1、</w:t>
      </w:r>
      <w:r>
        <w:rPr>
          <w:rFonts w:ascii="宋体" w:hAnsi="宋体" w:eastAsia="宋体" w:cs="Times New Roman"/>
          <w:sz w:val="24"/>
          <w:szCs w:val="28"/>
        </w:rPr>
        <w:t>本</w:t>
      </w:r>
      <w:r>
        <w:rPr>
          <w:rFonts w:hint="eastAsia" w:ascii="宋体" w:hAnsi="宋体" w:eastAsia="宋体" w:cs="Times New Roman"/>
          <w:sz w:val="24"/>
          <w:szCs w:val="28"/>
        </w:rPr>
        <w:t>合同</w:t>
      </w:r>
      <w:r>
        <w:rPr>
          <w:rFonts w:ascii="宋体" w:hAnsi="宋体" w:eastAsia="宋体" w:cs="Times New Roman"/>
          <w:sz w:val="24"/>
          <w:szCs w:val="28"/>
        </w:rPr>
        <w:t>无预付款</w:t>
      </w:r>
    </w:p>
    <w:p w14:paraId="75436024">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2、</w:t>
      </w:r>
      <w:r>
        <w:rPr>
          <w:rFonts w:ascii="宋体" w:hAnsi="宋体" w:eastAsia="宋体" w:cs="Times New Roman"/>
          <w:sz w:val="24"/>
          <w:szCs w:val="28"/>
        </w:rPr>
        <w:t>本项目</w:t>
      </w:r>
      <w:r>
        <w:rPr>
          <w:rFonts w:hint="eastAsia" w:ascii="宋体" w:hAnsi="宋体" w:eastAsia="宋体" w:cs="Times New Roman"/>
          <w:sz w:val="24"/>
          <w:szCs w:val="28"/>
        </w:rPr>
        <w:t>合同</w:t>
      </w:r>
      <w:r>
        <w:rPr>
          <w:rFonts w:ascii="宋体" w:hAnsi="宋体" w:eastAsia="宋体" w:cs="Times New Roman"/>
          <w:sz w:val="24"/>
          <w:szCs w:val="28"/>
        </w:rPr>
        <w:t>款以月度为支付节点。每月 5 日（国家法定节假日顺延），乙方将上月经双方签证认可的飞灰运输重量统计表及等额有效的增值税发票汇总报送甲方。甲方自收到乙方提交的结算单据并确认支付金额后的 20 个工作日内向乙方支付上月的飞灰固化处理费用</w:t>
      </w:r>
      <w:r>
        <w:rPr>
          <w:rFonts w:hint="eastAsia" w:ascii="宋体" w:hAnsi="宋体" w:eastAsia="宋体" w:cs="Times New Roman"/>
          <w:sz w:val="24"/>
          <w:szCs w:val="28"/>
        </w:rPr>
        <w:t>9</w:t>
      </w:r>
      <w:r>
        <w:rPr>
          <w:rFonts w:ascii="宋体" w:hAnsi="宋体" w:eastAsia="宋体" w:cs="Times New Roman"/>
          <w:sz w:val="24"/>
          <w:szCs w:val="28"/>
        </w:rPr>
        <w:t>5</w:t>
      </w:r>
      <w:r>
        <w:rPr>
          <w:rFonts w:hint="eastAsia" w:ascii="宋体" w:hAnsi="宋体" w:eastAsia="宋体" w:cs="Times New Roman"/>
          <w:sz w:val="24"/>
          <w:szCs w:val="28"/>
        </w:rPr>
        <w:t>%，剩余5%作为</w:t>
      </w:r>
      <w:r>
        <w:rPr>
          <w:rFonts w:hint="eastAsia" w:ascii="宋体" w:hAnsi="宋体" w:eastAsia="宋体"/>
          <w:sz w:val="24"/>
        </w:rPr>
        <w:t>安全保证金约定，安全保证金</w:t>
      </w:r>
      <w:r>
        <w:rPr>
          <w:rFonts w:ascii="宋体" w:hAnsi="宋体" w:eastAsia="宋体"/>
          <w:sz w:val="24"/>
        </w:rPr>
        <w:t>在乙方完成</w:t>
      </w:r>
      <w:r>
        <w:rPr>
          <w:rFonts w:hint="eastAsia" w:ascii="宋体" w:hAnsi="宋体" w:eastAsia="宋体"/>
          <w:sz w:val="24"/>
        </w:rPr>
        <w:t>每年</w:t>
      </w:r>
      <w:r>
        <w:rPr>
          <w:rFonts w:ascii="宋体" w:hAnsi="宋体" w:eastAsia="宋体"/>
          <w:sz w:val="24"/>
        </w:rPr>
        <w:t>全部服务后</w:t>
      </w:r>
      <w:r>
        <w:rPr>
          <w:rFonts w:hint="eastAsia" w:ascii="宋体" w:hAnsi="宋体" w:eastAsia="宋体"/>
          <w:sz w:val="24"/>
        </w:rPr>
        <w:t>，甲方完成对乙方</w:t>
      </w:r>
      <w:r>
        <w:rPr>
          <w:rFonts w:ascii="宋体" w:hAnsi="宋体" w:eastAsia="宋体"/>
          <w:sz w:val="24"/>
        </w:rPr>
        <w:t>服务的考核</w:t>
      </w:r>
      <w:r>
        <w:rPr>
          <w:rFonts w:hint="eastAsia" w:ascii="宋体" w:hAnsi="宋体" w:eastAsia="宋体"/>
          <w:sz w:val="24"/>
        </w:rPr>
        <w:t>工作后， 1</w:t>
      </w:r>
      <w:r>
        <w:rPr>
          <w:rFonts w:ascii="宋体" w:hAnsi="宋体" w:eastAsia="宋体"/>
          <w:sz w:val="24"/>
        </w:rPr>
        <w:t>5</w:t>
      </w:r>
      <w:r>
        <w:rPr>
          <w:rFonts w:hint="eastAsia" w:ascii="宋体" w:hAnsi="宋体" w:eastAsia="宋体"/>
          <w:sz w:val="24"/>
        </w:rPr>
        <w:t>个工作日无息返还</w:t>
      </w:r>
      <w:r>
        <w:rPr>
          <w:rFonts w:ascii="宋体" w:hAnsi="宋体" w:eastAsia="宋体" w:cs="Times New Roman"/>
          <w:sz w:val="24"/>
          <w:szCs w:val="28"/>
        </w:rPr>
        <w:t>。</w:t>
      </w:r>
    </w:p>
    <w:p w14:paraId="23F909A7">
      <w:pPr>
        <w:spacing w:line="360" w:lineRule="auto"/>
        <w:ind w:firstLine="480"/>
        <w:rPr>
          <w:rFonts w:ascii="宋体" w:hAnsi="宋体" w:eastAsia="宋体" w:cs="Times New Roman"/>
          <w:sz w:val="24"/>
          <w:szCs w:val="28"/>
        </w:rPr>
      </w:pPr>
      <w:r>
        <w:rPr>
          <w:rFonts w:ascii="宋体" w:hAnsi="宋体" w:eastAsia="宋体" w:cs="Times New Roman"/>
          <w:sz w:val="24"/>
          <w:szCs w:val="28"/>
        </w:rPr>
        <w:t xml:space="preserve">如乙方未按甲方要求提供上述结算单据，甲方有权拒绝办理月度结算和付款。 </w:t>
      </w:r>
    </w:p>
    <w:p w14:paraId="6ACBAE72">
      <w:pPr>
        <w:spacing w:line="360" w:lineRule="auto"/>
        <w:ind w:firstLine="480"/>
        <w:rPr>
          <w:rFonts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每次按合同支付款项前，乙方应向甲方提供与支付金额相符的合法有效完整的完税发票及凭证资料，且收款方、出具发票方、合同乙方均必须与乙方名称一致</w:t>
      </w:r>
      <w:r>
        <w:rPr>
          <w:rFonts w:hint="eastAsia" w:ascii="宋体" w:hAnsi="宋体" w:eastAsia="宋体"/>
          <w:sz w:val="24"/>
        </w:rPr>
        <w:t>。</w:t>
      </w:r>
    </w:p>
    <w:p w14:paraId="2FC30948">
      <w:pPr>
        <w:spacing w:line="360" w:lineRule="auto"/>
        <w:ind w:firstLine="480"/>
        <w:rPr>
          <w:rFonts w:ascii="宋体" w:hAnsi="宋体" w:eastAsia="宋体"/>
          <w:sz w:val="24"/>
        </w:rPr>
      </w:pPr>
      <w:r>
        <w:rPr>
          <w:rFonts w:ascii="宋体" w:hAnsi="宋体" w:eastAsia="宋体"/>
          <w:sz w:val="24"/>
        </w:rPr>
        <w:t>月服务费=月实际填埋飞灰量×</w:t>
      </w:r>
      <w:r>
        <w:rPr>
          <w:rFonts w:hint="eastAsia" w:ascii="宋体" w:hAnsi="宋体" w:eastAsia="宋体"/>
          <w:sz w:val="24"/>
        </w:rPr>
        <w:t>固定</w:t>
      </w:r>
      <w:r>
        <w:rPr>
          <w:rFonts w:ascii="宋体" w:hAnsi="宋体" w:eastAsia="宋体"/>
          <w:sz w:val="24"/>
        </w:rPr>
        <w:t>单价</w:t>
      </w:r>
    </w:p>
    <w:p w14:paraId="31328623">
      <w:pPr>
        <w:spacing w:line="360" w:lineRule="auto"/>
        <w:ind w:firstLine="420"/>
        <w:rPr>
          <w:rFonts w:ascii="宋体" w:hAnsi="宋体" w:eastAsia="宋体"/>
          <w:sz w:val="24"/>
        </w:rPr>
      </w:pPr>
      <w:r>
        <w:rPr>
          <w:rFonts w:hint="eastAsia" w:ascii="宋体" w:hAnsi="宋体" w:eastAsia="宋体"/>
          <w:sz w:val="24"/>
          <w:lang w:val="en-US" w:eastAsia="zh-CN"/>
        </w:rPr>
        <w:t>4</w:t>
      </w:r>
      <w:r>
        <w:rPr>
          <w:rFonts w:ascii="宋体" w:hAnsi="宋体" w:eastAsia="宋体"/>
          <w:sz w:val="24"/>
        </w:rPr>
        <w:t>、本</w:t>
      </w:r>
      <w:r>
        <w:rPr>
          <w:rFonts w:hint="eastAsia" w:ascii="宋体" w:hAnsi="宋体" w:eastAsia="宋体"/>
          <w:sz w:val="24"/>
        </w:rPr>
        <w:t>协议</w:t>
      </w:r>
      <w:r>
        <w:rPr>
          <w:rFonts w:ascii="宋体" w:hAnsi="宋体" w:eastAsia="宋体"/>
          <w:sz w:val="24"/>
        </w:rPr>
        <w:t>全部价款，</w:t>
      </w:r>
      <w:r>
        <w:rPr>
          <w:rFonts w:hint="eastAsia" w:ascii="宋体" w:hAnsi="宋体" w:eastAsia="宋体"/>
          <w:sz w:val="24"/>
        </w:rPr>
        <w:t>甲方</w:t>
      </w:r>
      <w:r>
        <w:rPr>
          <w:rFonts w:ascii="宋体" w:hAnsi="宋体" w:eastAsia="宋体"/>
          <w:sz w:val="24"/>
        </w:rPr>
        <w:t>以下述方式向</w:t>
      </w:r>
      <w:r>
        <w:rPr>
          <w:rFonts w:hint="eastAsia" w:ascii="宋体" w:hAnsi="宋体" w:eastAsia="宋体"/>
          <w:sz w:val="24"/>
        </w:rPr>
        <w:t>乙方</w:t>
      </w:r>
      <w:r>
        <w:rPr>
          <w:rFonts w:ascii="宋体" w:hAnsi="宋体" w:eastAsia="宋体"/>
          <w:sz w:val="24"/>
        </w:rPr>
        <w:t>支付，</w:t>
      </w:r>
      <w:r>
        <w:rPr>
          <w:rFonts w:hint="eastAsia" w:ascii="宋体" w:hAnsi="宋体" w:eastAsia="宋体"/>
          <w:sz w:val="24"/>
        </w:rPr>
        <w:t>乙方</w:t>
      </w:r>
      <w:r>
        <w:rPr>
          <w:rFonts w:ascii="宋体" w:hAnsi="宋体" w:eastAsia="宋体"/>
          <w:sz w:val="24"/>
        </w:rPr>
        <w:t>银行账户信息如下：</w:t>
      </w:r>
    </w:p>
    <w:p w14:paraId="68D92C12">
      <w:pPr>
        <w:spacing w:line="360" w:lineRule="auto"/>
        <w:ind w:firstLine="420"/>
        <w:rPr>
          <w:rFonts w:ascii="宋体" w:hAnsi="宋体" w:eastAsia="宋体"/>
          <w:sz w:val="24"/>
        </w:rPr>
      </w:pPr>
      <w:r>
        <w:rPr>
          <w:rFonts w:hint="eastAsia" w:ascii="宋体" w:hAnsi="宋体" w:eastAsia="宋体"/>
          <w:sz w:val="24"/>
        </w:rPr>
        <w:t>开户银行：</w:t>
      </w:r>
      <w:r>
        <w:rPr>
          <w:rFonts w:ascii="宋体" w:hAnsi="宋体" w:eastAsia="宋体"/>
          <w:sz w:val="24"/>
        </w:rPr>
        <w:t xml:space="preserve"> </w:t>
      </w:r>
    </w:p>
    <w:p w14:paraId="72AE76CB">
      <w:pPr>
        <w:spacing w:line="360" w:lineRule="auto"/>
        <w:ind w:firstLine="420"/>
        <w:rPr>
          <w:rFonts w:hint="eastAsia" w:ascii="宋体" w:hAnsi="宋体" w:eastAsia="宋体"/>
          <w:sz w:val="24"/>
        </w:rPr>
      </w:pPr>
      <w:r>
        <w:rPr>
          <w:rFonts w:hint="eastAsia" w:ascii="宋体" w:hAnsi="宋体" w:eastAsia="宋体"/>
          <w:sz w:val="24"/>
        </w:rPr>
        <w:t>开户名：</w:t>
      </w:r>
    </w:p>
    <w:p w14:paraId="498D2E0A">
      <w:pPr>
        <w:spacing w:line="360" w:lineRule="auto"/>
        <w:ind w:firstLine="420"/>
        <w:rPr>
          <w:rFonts w:ascii="宋体" w:hAnsi="宋体" w:eastAsia="宋体"/>
          <w:sz w:val="24"/>
        </w:rPr>
      </w:pPr>
      <w:r>
        <w:rPr>
          <w:rFonts w:hint="eastAsia" w:ascii="宋体" w:hAnsi="宋体" w:eastAsia="宋体"/>
          <w:sz w:val="24"/>
        </w:rPr>
        <w:t>银行账号：</w:t>
      </w:r>
    </w:p>
    <w:p w14:paraId="6AE20081">
      <w:pPr>
        <w:spacing w:line="360" w:lineRule="auto"/>
        <w:ind w:firstLine="420"/>
        <w:rPr>
          <w:rFonts w:ascii="宋体" w:hAnsi="宋体" w:eastAsia="宋体"/>
          <w:sz w:val="24"/>
        </w:rPr>
      </w:pPr>
      <w:r>
        <w:rPr>
          <w:rFonts w:ascii="宋体" w:hAnsi="宋体" w:eastAsia="宋体"/>
          <w:sz w:val="24"/>
        </w:rPr>
        <w:t xml:space="preserve">支付方式：选择使用【 ② 】 </w:t>
      </w:r>
    </w:p>
    <w:p w14:paraId="52DF4AA8">
      <w:pPr>
        <w:spacing w:line="360" w:lineRule="auto"/>
        <w:ind w:firstLine="420"/>
        <w:rPr>
          <w:rFonts w:ascii="宋体" w:hAnsi="宋体" w:eastAsia="宋体"/>
          <w:sz w:val="24"/>
        </w:rPr>
      </w:pPr>
      <w:r>
        <w:rPr>
          <w:rFonts w:ascii="宋体" w:hAnsi="宋体" w:eastAsia="宋体"/>
          <w:sz w:val="24"/>
        </w:rPr>
        <w:t>①银行承兑汇票支付 ②银行转账 ③银行承兑汇票优先支付</w:t>
      </w:r>
    </w:p>
    <w:p w14:paraId="2FFD625B">
      <w:pPr>
        <w:spacing w:line="360" w:lineRule="auto"/>
        <w:ind w:firstLine="420"/>
        <w:rPr>
          <w:rFonts w:ascii="宋体" w:hAnsi="宋体" w:eastAsia="宋体"/>
          <w:sz w:val="24"/>
        </w:rPr>
      </w:pPr>
      <w:r>
        <w:rPr>
          <w:rFonts w:hint="eastAsia" w:ascii="宋体" w:hAnsi="宋体" w:eastAsia="宋体"/>
          <w:sz w:val="24"/>
          <w:lang w:val="en-US" w:eastAsia="zh-CN"/>
        </w:rPr>
        <w:t>5</w:t>
      </w:r>
      <w:r>
        <w:rPr>
          <w:rFonts w:ascii="宋体" w:hAnsi="宋体" w:eastAsia="宋体"/>
          <w:sz w:val="24"/>
        </w:rPr>
        <w:t>、计税模式：</w:t>
      </w:r>
      <w:r>
        <w:rPr>
          <w:rFonts w:hint="eastAsia" w:ascii="宋体" w:hAnsi="宋体" w:eastAsia="宋体"/>
          <w:sz w:val="24"/>
        </w:rPr>
        <w:t>税率为</w:t>
      </w:r>
      <w:r>
        <w:rPr>
          <w:rFonts w:ascii="宋体" w:hAnsi="宋体" w:eastAsia="宋体"/>
          <w:sz w:val="24"/>
        </w:rPr>
        <w:t>6</w:t>
      </w:r>
      <w:r>
        <w:rPr>
          <w:rFonts w:hint="eastAsia" w:ascii="宋体" w:hAnsi="宋体" w:eastAsia="宋体"/>
          <w:sz w:val="24"/>
        </w:rPr>
        <w:t>%，</w:t>
      </w:r>
    </w:p>
    <w:p w14:paraId="5C1D61C9">
      <w:pPr>
        <w:spacing w:line="360" w:lineRule="auto"/>
        <w:ind w:firstLine="420"/>
        <w:rPr>
          <w:rFonts w:ascii="宋体" w:hAnsi="宋体" w:eastAsia="宋体"/>
          <w:sz w:val="24"/>
        </w:rPr>
      </w:pPr>
      <w:r>
        <w:rPr>
          <w:rFonts w:hint="eastAsia" w:ascii="宋体" w:hAnsi="宋体" w:eastAsia="宋体"/>
          <w:sz w:val="24"/>
          <w:lang w:val="en-US" w:eastAsia="zh-CN"/>
        </w:rPr>
        <w:t>6</w:t>
      </w:r>
      <w:r>
        <w:rPr>
          <w:rFonts w:ascii="宋体" w:hAnsi="宋体" w:eastAsia="宋体"/>
          <w:sz w:val="24"/>
        </w:rPr>
        <w:t>、</w:t>
      </w:r>
      <w:r>
        <w:rPr>
          <w:rFonts w:hint="eastAsia" w:ascii="宋体" w:hAnsi="宋体" w:eastAsia="宋体"/>
          <w:sz w:val="24"/>
        </w:rPr>
        <w:t xml:space="preserve"> </w:t>
      </w:r>
      <w:r>
        <w:rPr>
          <w:rFonts w:ascii="宋体" w:hAnsi="宋体" w:eastAsia="宋体"/>
          <w:sz w:val="24"/>
        </w:rPr>
        <w:t>发票开具与相关约定：</w:t>
      </w:r>
    </w:p>
    <w:p w14:paraId="6D4D0D31">
      <w:pPr>
        <w:spacing w:line="360" w:lineRule="auto"/>
        <w:ind w:firstLine="420"/>
        <w:rPr>
          <w:rFonts w:ascii="宋体" w:hAnsi="宋体" w:eastAsia="宋体"/>
          <w:sz w:val="24"/>
        </w:rPr>
      </w:pPr>
      <w:r>
        <w:rPr>
          <w:rFonts w:hint="eastAsia" w:ascii="宋体" w:hAnsi="宋体" w:eastAsia="宋体"/>
          <w:sz w:val="24"/>
        </w:rPr>
        <w:t>① 乙方</w:t>
      </w:r>
      <w:r>
        <w:rPr>
          <w:rFonts w:ascii="宋体" w:hAnsi="宋体" w:eastAsia="宋体"/>
          <w:sz w:val="24"/>
        </w:rPr>
        <w:t>属于以下类型的哪一种，请在适用的类型前勾选</w:t>
      </w:r>
      <w:r>
        <w:rPr>
          <w:rFonts w:hint="eastAsia" w:ascii="宋体" w:hAnsi="宋体" w:eastAsia="宋体"/>
          <w:sz w:val="24"/>
        </w:rPr>
        <w:t>“</w:t>
      </w:r>
      <w:r>
        <w:rPr>
          <w:rFonts w:ascii="宋体" w:hAnsi="宋体" w:eastAsia="宋体"/>
          <w:sz w:val="24"/>
        </w:rPr>
        <w:t>√</w:t>
      </w:r>
      <w:r>
        <w:rPr>
          <w:rFonts w:hint="eastAsia" w:ascii="宋体" w:hAnsi="宋体" w:eastAsia="宋体"/>
          <w:sz w:val="24"/>
        </w:rPr>
        <w:t>”</w:t>
      </w:r>
      <w:r>
        <w:rPr>
          <w:rFonts w:ascii="宋体" w:hAnsi="宋体" w:eastAsia="宋体"/>
          <w:sz w:val="24"/>
        </w:rPr>
        <w:t xml:space="preserve">。  </w:t>
      </w:r>
    </w:p>
    <w:p w14:paraId="1EAD7B45">
      <w:pPr>
        <w:spacing w:line="360" w:lineRule="auto"/>
        <w:ind w:firstLine="420"/>
        <w:rPr>
          <w:rFonts w:ascii="宋体" w:hAnsi="宋体" w:eastAsia="宋体"/>
          <w:sz w:val="24"/>
        </w:rPr>
      </w:pPr>
      <w:r>
        <w:rPr>
          <w:rFonts w:ascii="宋体" w:hAnsi="宋体" w:eastAsia="宋体"/>
          <w:sz w:val="24"/>
        </w:rPr>
        <w:sym w:font="Wingdings 2" w:char="0052"/>
      </w:r>
      <w:r>
        <w:rPr>
          <w:rFonts w:hint="eastAsia" w:ascii="宋体" w:hAnsi="宋体" w:eastAsia="宋体"/>
          <w:sz w:val="24"/>
        </w:rPr>
        <w:t>增值税一般纳税人；</w:t>
      </w:r>
      <w:r>
        <w:rPr>
          <w:rFonts w:ascii="宋体" w:hAnsi="宋体" w:eastAsia="宋体"/>
          <w:sz w:val="24"/>
        </w:rPr>
        <w:sym w:font="Wingdings 2" w:char="00A3"/>
      </w:r>
      <w:r>
        <w:rPr>
          <w:rFonts w:hint="eastAsia" w:ascii="宋体" w:hAnsi="宋体" w:eastAsia="宋体"/>
          <w:sz w:val="24"/>
        </w:rPr>
        <w:t>小规模纳税人；</w:t>
      </w:r>
      <w:r>
        <w:rPr>
          <w:rFonts w:ascii="宋体" w:hAnsi="宋体" w:eastAsia="宋体"/>
          <w:sz w:val="24"/>
        </w:rPr>
        <w:sym w:font="Wingdings 2" w:char="00A3"/>
      </w:r>
      <w:r>
        <w:rPr>
          <w:rFonts w:hint="eastAsia" w:ascii="宋体" w:hAnsi="宋体" w:eastAsia="宋体"/>
          <w:sz w:val="24"/>
        </w:rPr>
        <w:t>个体工商户；</w:t>
      </w:r>
      <w:r>
        <w:rPr>
          <w:rFonts w:ascii="宋体" w:hAnsi="宋体" w:eastAsia="宋体"/>
          <w:sz w:val="24"/>
        </w:rPr>
        <w:sym w:font="Wingdings 2" w:char="00A3"/>
      </w:r>
      <w:r>
        <w:rPr>
          <w:rFonts w:hint="eastAsia" w:ascii="宋体" w:hAnsi="宋体" w:eastAsia="宋体"/>
          <w:sz w:val="24"/>
        </w:rPr>
        <w:t>其他。</w:t>
      </w:r>
    </w:p>
    <w:p w14:paraId="2A8FF4E3">
      <w:pPr>
        <w:spacing w:line="360" w:lineRule="auto"/>
        <w:ind w:firstLine="420"/>
        <w:rPr>
          <w:rFonts w:ascii="宋体" w:hAnsi="宋体" w:eastAsia="宋体"/>
          <w:sz w:val="24"/>
        </w:rPr>
      </w:pPr>
      <w:r>
        <w:rPr>
          <w:rFonts w:hint="eastAsia" w:ascii="宋体" w:hAnsi="宋体" w:eastAsia="宋体"/>
          <w:sz w:val="24"/>
        </w:rPr>
        <w:t>② 乙方</w:t>
      </w:r>
      <w:r>
        <w:rPr>
          <w:rFonts w:ascii="宋体" w:hAnsi="宋体" w:eastAsia="宋体"/>
          <w:sz w:val="24"/>
        </w:rPr>
        <w:t>所开具的发票必须是签订合同单位的正规的</w:t>
      </w:r>
      <w:r>
        <w:rPr>
          <w:rFonts w:hint="eastAsia" w:ascii="宋体" w:hAnsi="宋体" w:eastAsia="宋体"/>
          <w:sz w:val="24"/>
        </w:rPr>
        <w:t>税率为</w:t>
      </w:r>
      <w:r>
        <w:rPr>
          <w:rFonts w:ascii="宋体" w:hAnsi="宋体" w:eastAsia="宋体"/>
          <w:sz w:val="24"/>
        </w:rPr>
        <w:t>6</w:t>
      </w:r>
      <w:r>
        <w:rPr>
          <w:rFonts w:hint="eastAsia" w:ascii="宋体" w:hAnsi="宋体" w:eastAsia="宋体"/>
          <w:sz w:val="24"/>
        </w:rPr>
        <w:t>%的增值税专用发票</w:t>
      </w:r>
      <w:r>
        <w:rPr>
          <w:rFonts w:ascii="宋体" w:hAnsi="宋体" w:eastAsia="宋体"/>
          <w:sz w:val="24"/>
        </w:rPr>
        <w:t>，并承担因发票原因引起的一切法律责任及经济损失而且不能免除其重新开具合法发票的义务。</w:t>
      </w:r>
      <w:r>
        <w:rPr>
          <w:rFonts w:hint="eastAsia" w:ascii="宋体" w:hAnsi="宋体" w:eastAsia="宋体"/>
          <w:sz w:val="24"/>
        </w:rPr>
        <w:t>乙方</w:t>
      </w:r>
      <w:r>
        <w:rPr>
          <w:rFonts w:ascii="宋体" w:hAnsi="宋体" w:eastAsia="宋体"/>
          <w:sz w:val="24"/>
        </w:rPr>
        <w:t>在收取每笔款项前需提供发票予</w:t>
      </w:r>
      <w:r>
        <w:rPr>
          <w:rFonts w:hint="eastAsia" w:ascii="宋体" w:hAnsi="宋体" w:eastAsia="宋体"/>
          <w:sz w:val="24"/>
        </w:rPr>
        <w:t>甲方</w:t>
      </w:r>
      <w:r>
        <w:rPr>
          <w:rFonts w:ascii="宋体" w:hAnsi="宋体" w:eastAsia="宋体"/>
          <w:sz w:val="24"/>
        </w:rPr>
        <w:t>，以便</w:t>
      </w:r>
      <w:r>
        <w:rPr>
          <w:rFonts w:hint="eastAsia" w:ascii="宋体" w:hAnsi="宋体" w:eastAsia="宋体"/>
          <w:sz w:val="24"/>
        </w:rPr>
        <w:t>甲方</w:t>
      </w:r>
      <w:r>
        <w:rPr>
          <w:rFonts w:ascii="宋体" w:hAnsi="宋体" w:eastAsia="宋体"/>
          <w:sz w:val="24"/>
        </w:rPr>
        <w:t>办理</w:t>
      </w:r>
      <w:r>
        <w:rPr>
          <w:rFonts w:hint="eastAsia" w:ascii="宋体" w:hAnsi="宋体" w:eastAsia="宋体"/>
          <w:sz w:val="24"/>
        </w:rPr>
        <w:t>协议款</w:t>
      </w:r>
      <w:r>
        <w:rPr>
          <w:rFonts w:ascii="宋体" w:hAnsi="宋体" w:eastAsia="宋体"/>
          <w:sz w:val="24"/>
        </w:rPr>
        <w:t>支付。</w:t>
      </w:r>
    </w:p>
    <w:p w14:paraId="5FE2914E">
      <w:pPr>
        <w:spacing w:line="360" w:lineRule="auto"/>
        <w:ind w:firstLine="420"/>
        <w:rPr>
          <w:rFonts w:ascii="宋体" w:hAnsi="宋体" w:eastAsia="宋体"/>
          <w:sz w:val="24"/>
        </w:rPr>
      </w:pPr>
      <w:r>
        <w:rPr>
          <w:rFonts w:hint="eastAsia" w:ascii="宋体" w:hAnsi="宋体" w:eastAsia="宋体"/>
          <w:sz w:val="24"/>
        </w:rPr>
        <w:t xml:space="preserve">③ </w:t>
      </w:r>
      <w:r>
        <w:rPr>
          <w:rFonts w:ascii="宋体" w:hAnsi="宋体" w:eastAsia="宋体"/>
          <w:sz w:val="24"/>
        </w:rPr>
        <w:t>如因退货等行为涉及到开具红字增值税发票的行为，</w:t>
      </w:r>
      <w:r>
        <w:rPr>
          <w:rFonts w:hint="eastAsia" w:ascii="宋体" w:hAnsi="宋体" w:eastAsia="宋体"/>
          <w:sz w:val="24"/>
        </w:rPr>
        <w:t>乙方</w:t>
      </w:r>
      <w:r>
        <w:rPr>
          <w:rFonts w:ascii="宋体" w:hAnsi="宋体" w:eastAsia="宋体"/>
          <w:sz w:val="24"/>
        </w:rPr>
        <w:t>需要履行协助开具义务。</w:t>
      </w:r>
    </w:p>
    <w:p w14:paraId="511C6955">
      <w:pPr>
        <w:spacing w:line="360" w:lineRule="auto"/>
        <w:ind w:firstLine="420"/>
        <w:rPr>
          <w:rFonts w:ascii="宋体" w:hAnsi="宋体" w:eastAsia="宋体"/>
          <w:sz w:val="24"/>
        </w:rPr>
      </w:pPr>
      <w:r>
        <w:rPr>
          <w:rFonts w:hint="eastAsia" w:ascii="宋体" w:hAnsi="宋体" w:eastAsia="宋体"/>
          <w:sz w:val="24"/>
        </w:rPr>
        <w:t xml:space="preserve">④ </w:t>
      </w:r>
      <w:r>
        <w:rPr>
          <w:rFonts w:ascii="宋体" w:hAnsi="宋体" w:eastAsia="宋体"/>
          <w:sz w:val="24"/>
        </w:rPr>
        <w:t>如在执行</w:t>
      </w:r>
      <w:r>
        <w:rPr>
          <w:rFonts w:hint="eastAsia" w:ascii="宋体" w:hAnsi="宋体" w:eastAsia="宋体"/>
          <w:sz w:val="24"/>
        </w:rPr>
        <w:t>协议</w:t>
      </w:r>
      <w:r>
        <w:rPr>
          <w:rFonts w:ascii="宋体" w:hAnsi="宋体" w:eastAsia="宋体"/>
          <w:sz w:val="24"/>
        </w:rPr>
        <w:t>过程中，涉及</w:t>
      </w:r>
      <w:r>
        <w:rPr>
          <w:rFonts w:hint="eastAsia" w:ascii="宋体" w:hAnsi="宋体" w:eastAsia="宋体"/>
          <w:sz w:val="24"/>
        </w:rPr>
        <w:t>乙方</w:t>
      </w:r>
      <w:r>
        <w:rPr>
          <w:rFonts w:ascii="宋体" w:hAnsi="宋体" w:eastAsia="宋体"/>
          <w:sz w:val="24"/>
        </w:rPr>
        <w:t>重大信息变更，如税务登记变更、公司名称、实际经营地址、联系电话等，应在10 日内及时告知</w:t>
      </w:r>
      <w:r>
        <w:rPr>
          <w:rFonts w:hint="eastAsia" w:ascii="宋体" w:hAnsi="宋体" w:eastAsia="宋体"/>
          <w:sz w:val="24"/>
        </w:rPr>
        <w:t>甲方</w:t>
      </w:r>
      <w:r>
        <w:rPr>
          <w:rFonts w:ascii="宋体" w:hAnsi="宋体" w:eastAsia="宋体"/>
          <w:sz w:val="24"/>
        </w:rPr>
        <w:t>变更情况，并提供相关纸质或电子信息资料。</w:t>
      </w:r>
    </w:p>
    <w:p w14:paraId="5847392E">
      <w:pPr>
        <w:spacing w:line="360" w:lineRule="auto"/>
        <w:ind w:firstLine="420"/>
        <w:rPr>
          <w:rFonts w:ascii="宋体" w:hAnsi="宋体" w:eastAsia="宋体"/>
          <w:sz w:val="24"/>
        </w:rPr>
      </w:pPr>
      <w:r>
        <w:rPr>
          <w:rFonts w:hint="eastAsia" w:ascii="宋体" w:hAnsi="宋体" w:eastAsia="宋体"/>
          <w:sz w:val="24"/>
        </w:rPr>
        <w:t>⑤ 协议</w:t>
      </w:r>
      <w:r>
        <w:rPr>
          <w:rFonts w:ascii="宋体" w:hAnsi="宋体" w:eastAsia="宋体"/>
          <w:sz w:val="24"/>
        </w:rPr>
        <w:t>履行过程中，若遇国家调整增值税税率</w:t>
      </w:r>
      <w:r>
        <w:rPr>
          <w:rFonts w:hint="eastAsia" w:ascii="宋体" w:hAnsi="宋体" w:eastAsia="宋体"/>
          <w:sz w:val="24"/>
        </w:rPr>
        <w:t>或相关政策性文件的</w:t>
      </w:r>
      <w:r>
        <w:rPr>
          <w:rFonts w:ascii="宋体" w:hAnsi="宋体" w:eastAsia="宋体"/>
          <w:sz w:val="24"/>
        </w:rPr>
        <w:t>，对尚未结算部分的</w:t>
      </w:r>
      <w:r>
        <w:rPr>
          <w:rFonts w:hint="eastAsia" w:ascii="宋体" w:hAnsi="宋体" w:eastAsia="宋体"/>
          <w:sz w:val="24"/>
        </w:rPr>
        <w:t>协议</w:t>
      </w:r>
      <w:r>
        <w:rPr>
          <w:rFonts w:ascii="宋体" w:hAnsi="宋体" w:eastAsia="宋体"/>
          <w:sz w:val="24"/>
        </w:rPr>
        <w:t>价款，</w:t>
      </w:r>
      <w:r>
        <w:rPr>
          <w:rFonts w:hint="eastAsia" w:ascii="宋体" w:hAnsi="宋体" w:eastAsia="宋体"/>
          <w:sz w:val="24"/>
        </w:rPr>
        <w:t>结算含税单价不予调整，增值税税额按国家最新</w:t>
      </w:r>
      <w:r>
        <w:rPr>
          <w:rFonts w:ascii="宋体" w:hAnsi="宋体" w:eastAsia="宋体"/>
          <w:sz w:val="24"/>
        </w:rPr>
        <w:t>增值税税率计算</w:t>
      </w:r>
      <w:r>
        <w:rPr>
          <w:rFonts w:hint="eastAsia" w:ascii="宋体" w:hAnsi="宋体" w:eastAsia="宋体"/>
          <w:sz w:val="24"/>
        </w:rPr>
        <w:t>开具发票，</w:t>
      </w:r>
      <w:r>
        <w:rPr>
          <w:rFonts w:ascii="宋体" w:hAnsi="宋体" w:eastAsia="宋体"/>
          <w:sz w:val="24"/>
        </w:rPr>
        <w:t>双方对此无异议。</w:t>
      </w:r>
    </w:p>
    <w:p w14:paraId="2AB679D2">
      <w:pPr>
        <w:spacing w:line="360" w:lineRule="auto"/>
        <w:rPr>
          <w:rFonts w:ascii="宋体" w:hAnsi="宋体" w:eastAsia="宋体"/>
        </w:rPr>
      </w:pPr>
      <w:r>
        <w:rPr>
          <w:rFonts w:ascii="宋体" w:hAnsi="宋体" w:eastAsia="宋体"/>
          <w:b/>
          <w:sz w:val="24"/>
        </w:rPr>
        <w:t>六、履约保证金</w:t>
      </w:r>
    </w:p>
    <w:p w14:paraId="0509C100">
      <w:pPr>
        <w:kinsoku w:val="0"/>
        <w:overflowPunct w:val="0"/>
        <w:spacing w:line="460" w:lineRule="exact"/>
        <w:rPr>
          <w:rFonts w:ascii="宋体" w:hAnsi="宋体" w:eastAsia="宋体"/>
          <w:sz w:val="24"/>
        </w:rPr>
      </w:pPr>
      <w:r>
        <w:rPr>
          <w:rFonts w:ascii="宋体" w:hAnsi="宋体" w:eastAsia="宋体"/>
          <w:sz w:val="24"/>
        </w:rPr>
        <w:t>收取比例：2%,说明：</w:t>
      </w:r>
      <w:r>
        <w:rPr>
          <w:rFonts w:hint="eastAsia" w:ascii="宋体" w:hAnsi="宋体" w:eastAsia="宋体"/>
          <w:sz w:val="24"/>
        </w:rPr>
        <w:t>合同</w:t>
      </w:r>
      <w:r>
        <w:rPr>
          <w:rFonts w:ascii="宋体" w:hAnsi="宋体" w:eastAsia="宋体"/>
          <w:sz w:val="24"/>
        </w:rPr>
        <w:t>总价的2%作为履约保证金（或履约保函），</w:t>
      </w:r>
      <w:r>
        <w:rPr>
          <w:rFonts w:hint="eastAsia" w:ascii="宋体" w:hAnsi="宋体" w:eastAsia="宋体"/>
          <w:sz w:val="24"/>
        </w:rPr>
        <w:t>落实比例，</w:t>
      </w:r>
      <w:r>
        <w:rPr>
          <w:rFonts w:ascii="宋体" w:hAnsi="宋体" w:eastAsia="宋体"/>
          <w:sz w:val="24"/>
        </w:rPr>
        <w:t>在正式签订协议前向甲方提交履约保证金或有资质的担保公司、银行出具的履约保函。在乙方完成全部服务后，甲方无息退还履约保证金或解除履约担保。</w:t>
      </w:r>
    </w:p>
    <w:p w14:paraId="1122D32D">
      <w:pPr>
        <w:spacing w:line="360" w:lineRule="auto"/>
        <w:rPr>
          <w:rFonts w:ascii="宋体" w:hAnsi="宋体" w:eastAsia="宋体"/>
        </w:rPr>
      </w:pPr>
      <w:r>
        <w:rPr>
          <w:rFonts w:ascii="宋体" w:hAnsi="宋体" w:eastAsia="宋体"/>
          <w:b/>
          <w:sz w:val="24"/>
        </w:rPr>
        <w:t>七、索赔</w:t>
      </w:r>
    </w:p>
    <w:p w14:paraId="36689F16">
      <w:pPr>
        <w:spacing w:line="360" w:lineRule="auto"/>
        <w:rPr>
          <w:rFonts w:ascii="宋体" w:hAnsi="宋体" w:eastAsia="宋体"/>
        </w:rPr>
      </w:pPr>
      <w:r>
        <w:rPr>
          <w:rFonts w:ascii="宋体" w:hAnsi="宋体" w:eastAsia="宋体"/>
          <w:sz w:val="24"/>
        </w:rPr>
        <w:t>1、若发现服务质量问题，甲方有权向乙方提出索赔。</w:t>
      </w:r>
    </w:p>
    <w:p w14:paraId="2C0D64A2">
      <w:pPr>
        <w:spacing w:line="360" w:lineRule="auto"/>
        <w:rPr>
          <w:rFonts w:ascii="宋体" w:hAnsi="宋体" w:eastAsia="宋体"/>
        </w:rPr>
      </w:pPr>
      <w:r>
        <w:rPr>
          <w:rFonts w:ascii="宋体" w:hAnsi="宋体" w:eastAsia="宋体"/>
          <w:b/>
          <w:sz w:val="24"/>
        </w:rPr>
        <w:t>八、违约责任</w:t>
      </w:r>
    </w:p>
    <w:p w14:paraId="1E3366A7">
      <w:pPr>
        <w:spacing w:line="360" w:lineRule="auto"/>
        <w:ind w:firstLine="480" w:firstLineChars="200"/>
        <w:rPr>
          <w:rFonts w:ascii="宋体" w:hAnsi="宋体" w:eastAsia="宋体"/>
        </w:rPr>
      </w:pPr>
      <w:r>
        <w:rPr>
          <w:rFonts w:ascii="宋体" w:hAnsi="宋体" w:eastAsia="宋体"/>
          <w:sz w:val="24"/>
        </w:rPr>
        <w:t>1、乙方提供的服务不符合本合同规定的，甲方有权</w:t>
      </w:r>
      <w:r>
        <w:rPr>
          <w:rFonts w:hint="eastAsia" w:ascii="宋体" w:hAnsi="宋体" w:eastAsia="宋体"/>
          <w:sz w:val="24"/>
        </w:rPr>
        <w:t>解除合同</w:t>
      </w:r>
      <w:r>
        <w:rPr>
          <w:rFonts w:ascii="宋体" w:hAnsi="宋体" w:eastAsia="宋体"/>
          <w:sz w:val="24"/>
        </w:rPr>
        <w:t>。</w:t>
      </w:r>
    </w:p>
    <w:p w14:paraId="13C2427D">
      <w:pPr>
        <w:spacing w:line="360" w:lineRule="auto"/>
        <w:ind w:firstLine="480"/>
        <w:rPr>
          <w:rFonts w:ascii="宋体" w:hAnsi="宋体" w:eastAsia="宋体"/>
          <w:sz w:val="24"/>
        </w:rPr>
      </w:pPr>
      <w:r>
        <w:rPr>
          <w:rFonts w:ascii="宋体" w:hAnsi="宋体" w:eastAsia="宋体"/>
          <w:sz w:val="24"/>
        </w:rPr>
        <w:t>2、乙方未能按本合同规定的时间完成服务，逾期半个月以上的，甲方有权终止合同。</w:t>
      </w:r>
    </w:p>
    <w:p w14:paraId="06688849">
      <w:pPr>
        <w:spacing w:line="360" w:lineRule="auto"/>
        <w:rPr>
          <w:rFonts w:ascii="宋体" w:hAnsi="宋体" w:eastAsia="宋体"/>
          <w:sz w:val="24"/>
        </w:rPr>
      </w:pPr>
      <w:r>
        <w:rPr>
          <w:rFonts w:hint="eastAsia" w:ascii="宋体" w:hAnsi="宋体" w:eastAsia="宋体"/>
          <w:sz w:val="24"/>
        </w:rPr>
        <w:t>九、保险</w:t>
      </w:r>
    </w:p>
    <w:p w14:paraId="08523FFF">
      <w:pPr>
        <w:spacing w:line="360" w:lineRule="auto"/>
        <w:ind w:firstLine="480"/>
        <w:rPr>
          <w:rFonts w:ascii="宋体" w:hAnsi="宋体" w:eastAsia="宋体"/>
          <w:sz w:val="24"/>
        </w:rPr>
      </w:pPr>
      <w:r>
        <w:rPr>
          <w:rFonts w:ascii="宋体" w:hAnsi="宋体" w:eastAsia="宋体"/>
          <w:sz w:val="24"/>
        </w:rPr>
        <w:t>1、乙方应为其所有作业人员办理工伤保险、意外伤害保险，保险额度不低于100万元，并为本项目内自有人员生命财产、机械设备和材料及其它相关规定要求的投保范围办理保险，上述保险办理工作和相关一切费用由乙方负责和支付。</w:t>
      </w:r>
    </w:p>
    <w:p w14:paraId="768353E8">
      <w:pPr>
        <w:spacing w:line="360" w:lineRule="auto"/>
        <w:ind w:firstLine="480"/>
        <w:rPr>
          <w:rFonts w:ascii="宋体" w:hAnsi="宋体" w:eastAsia="宋体"/>
          <w:sz w:val="24"/>
        </w:rPr>
      </w:pPr>
      <w:r>
        <w:rPr>
          <w:rFonts w:ascii="宋体" w:hAnsi="宋体" w:eastAsia="宋体"/>
          <w:sz w:val="24"/>
        </w:rPr>
        <w:t>2、 乙方进场作业前，应向甲方提供上述保险单复印件备案。</w:t>
      </w:r>
    </w:p>
    <w:p w14:paraId="128C9EB6">
      <w:pPr>
        <w:spacing w:line="360" w:lineRule="auto"/>
        <w:rPr>
          <w:rFonts w:ascii="宋体" w:hAnsi="宋体" w:eastAsia="宋体"/>
        </w:rPr>
      </w:pPr>
      <w:r>
        <w:rPr>
          <w:rFonts w:hint="eastAsia" w:ascii="宋体" w:hAnsi="宋体" w:eastAsia="宋体"/>
          <w:b/>
          <w:sz w:val="24"/>
        </w:rPr>
        <w:t>十</w:t>
      </w:r>
      <w:r>
        <w:rPr>
          <w:rFonts w:ascii="宋体" w:hAnsi="宋体" w:eastAsia="宋体"/>
          <w:b/>
          <w:sz w:val="24"/>
        </w:rPr>
        <w:t>、补充、变更与解除</w:t>
      </w:r>
    </w:p>
    <w:p w14:paraId="2CE42D81">
      <w:pPr>
        <w:spacing w:line="360" w:lineRule="auto"/>
        <w:ind w:firstLine="480"/>
        <w:rPr>
          <w:rFonts w:ascii="宋体" w:hAnsi="宋体" w:eastAsia="宋体"/>
        </w:rPr>
      </w:pPr>
      <w:r>
        <w:rPr>
          <w:rFonts w:ascii="宋体" w:hAnsi="宋体" w:eastAsia="宋体"/>
          <w:sz w:val="24"/>
        </w:rPr>
        <w:t>合同甲乙双方可签订书面协议对本合同进行补充、变更或解除。对本合同的补充、变更或解除应明确甲乙双方的相应权利、义务与责任，约定不明的，服从本合同的约定。</w:t>
      </w:r>
    </w:p>
    <w:p w14:paraId="47D805C8">
      <w:pPr>
        <w:spacing w:line="360" w:lineRule="auto"/>
        <w:rPr>
          <w:rFonts w:ascii="宋体" w:hAnsi="宋体" w:eastAsia="宋体"/>
        </w:rPr>
      </w:pPr>
      <w:r>
        <w:rPr>
          <w:rFonts w:ascii="宋体" w:hAnsi="宋体" w:eastAsia="宋体"/>
          <w:b/>
          <w:sz w:val="24"/>
        </w:rPr>
        <w:t>十</w:t>
      </w:r>
      <w:r>
        <w:rPr>
          <w:rFonts w:hint="eastAsia" w:ascii="宋体" w:hAnsi="宋体" w:eastAsia="宋体"/>
          <w:b/>
          <w:sz w:val="24"/>
        </w:rPr>
        <w:t>一</w:t>
      </w:r>
      <w:r>
        <w:rPr>
          <w:rFonts w:ascii="宋体" w:hAnsi="宋体" w:eastAsia="宋体"/>
          <w:b/>
          <w:sz w:val="24"/>
        </w:rPr>
        <w:t>、争议的解决</w:t>
      </w:r>
    </w:p>
    <w:p w14:paraId="1B70FDF9">
      <w:pPr>
        <w:spacing w:line="360" w:lineRule="auto"/>
        <w:ind w:firstLine="480"/>
        <w:rPr>
          <w:rFonts w:ascii="宋体" w:hAnsi="宋体" w:eastAsia="宋体"/>
        </w:rPr>
      </w:pPr>
      <w:r>
        <w:rPr>
          <w:rFonts w:ascii="宋体" w:hAnsi="宋体" w:eastAsia="宋体"/>
          <w:sz w:val="24"/>
        </w:rPr>
        <w:t>签约双方在履约中发生争执和分歧，双方应通过友好协商解决，若经协商不能达成一致时，可向当地的人民法院提起诉讼。受理期间，双方应继续执行合同剩余部分。</w:t>
      </w:r>
    </w:p>
    <w:p w14:paraId="09C4CCB3">
      <w:pPr>
        <w:spacing w:line="360" w:lineRule="auto"/>
        <w:rPr>
          <w:rFonts w:ascii="宋体" w:hAnsi="宋体" w:eastAsia="宋体"/>
        </w:rPr>
      </w:pPr>
      <w:r>
        <w:rPr>
          <w:rFonts w:ascii="宋体" w:hAnsi="宋体" w:eastAsia="宋体"/>
          <w:b/>
          <w:sz w:val="24"/>
        </w:rPr>
        <w:t>十</w:t>
      </w:r>
      <w:r>
        <w:rPr>
          <w:rFonts w:hint="eastAsia" w:ascii="宋体" w:hAnsi="宋体" w:eastAsia="宋体"/>
          <w:b/>
          <w:sz w:val="24"/>
        </w:rPr>
        <w:t>二</w:t>
      </w:r>
      <w:r>
        <w:rPr>
          <w:rFonts w:ascii="宋体" w:hAnsi="宋体" w:eastAsia="宋体"/>
          <w:b/>
          <w:sz w:val="24"/>
        </w:rPr>
        <w:t>、不可抗力</w:t>
      </w:r>
    </w:p>
    <w:p w14:paraId="4865773D">
      <w:pPr>
        <w:spacing w:line="360" w:lineRule="auto"/>
        <w:ind w:firstLine="480"/>
        <w:rPr>
          <w:rFonts w:ascii="宋体" w:hAnsi="宋体" w:eastAsia="宋体"/>
        </w:rPr>
      </w:pPr>
      <w:r>
        <w:rPr>
          <w:rFonts w:ascii="宋体" w:hAnsi="宋体" w:eastAsia="宋体"/>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3B9EEDD">
      <w:pPr>
        <w:spacing w:line="360" w:lineRule="auto"/>
        <w:rPr>
          <w:rFonts w:ascii="宋体" w:hAnsi="宋体" w:eastAsia="宋体"/>
        </w:rPr>
      </w:pPr>
      <w:r>
        <w:rPr>
          <w:rFonts w:ascii="宋体" w:hAnsi="宋体" w:eastAsia="宋体"/>
          <w:b/>
          <w:sz w:val="24"/>
        </w:rPr>
        <w:t>十</w:t>
      </w:r>
      <w:r>
        <w:rPr>
          <w:rFonts w:hint="eastAsia" w:ascii="宋体" w:hAnsi="宋体" w:eastAsia="宋体"/>
          <w:b/>
          <w:sz w:val="24"/>
        </w:rPr>
        <w:t>三</w:t>
      </w:r>
      <w:r>
        <w:rPr>
          <w:rFonts w:ascii="宋体" w:hAnsi="宋体" w:eastAsia="宋体"/>
          <w:b/>
          <w:sz w:val="24"/>
        </w:rPr>
        <w:t>、</w:t>
      </w:r>
      <w:r>
        <w:rPr>
          <w:rFonts w:ascii="宋体" w:hAnsi="宋体" w:eastAsia="宋体"/>
          <w:b/>
          <w:sz w:val="27"/>
        </w:rPr>
        <w:t>税费</w:t>
      </w:r>
    </w:p>
    <w:p w14:paraId="1CC3EA52">
      <w:pPr>
        <w:spacing w:line="360" w:lineRule="auto"/>
        <w:ind w:firstLine="480"/>
        <w:rPr>
          <w:rFonts w:ascii="宋体" w:hAnsi="宋体" w:eastAsia="宋体"/>
        </w:rPr>
      </w:pPr>
      <w:r>
        <w:rPr>
          <w:rFonts w:ascii="宋体" w:hAnsi="宋体" w:eastAsia="宋体"/>
          <w:sz w:val="24"/>
        </w:rPr>
        <w:t>在中国境内、外发生的与本合同执行有关的一切税费均由乙方负担。</w:t>
      </w:r>
    </w:p>
    <w:p w14:paraId="60196988">
      <w:pPr>
        <w:spacing w:line="360" w:lineRule="auto"/>
        <w:rPr>
          <w:rFonts w:ascii="宋体" w:hAnsi="宋体" w:eastAsia="宋体"/>
        </w:rPr>
      </w:pPr>
      <w:r>
        <w:rPr>
          <w:rFonts w:ascii="宋体" w:hAnsi="宋体" w:eastAsia="宋体"/>
          <w:b/>
          <w:sz w:val="24"/>
        </w:rPr>
        <w:t>十</w:t>
      </w:r>
      <w:r>
        <w:rPr>
          <w:rFonts w:hint="eastAsia" w:ascii="宋体" w:hAnsi="宋体" w:eastAsia="宋体"/>
          <w:sz w:val="24"/>
        </w:rPr>
        <w:t>四</w:t>
      </w:r>
      <w:r>
        <w:rPr>
          <w:rFonts w:ascii="宋体" w:hAnsi="宋体" w:eastAsia="宋体"/>
          <w:b/>
          <w:sz w:val="24"/>
        </w:rPr>
        <w:t>、</w:t>
      </w:r>
      <w:r>
        <w:rPr>
          <w:rFonts w:ascii="宋体" w:hAnsi="宋体" w:eastAsia="宋体"/>
          <w:b/>
          <w:sz w:val="27"/>
        </w:rPr>
        <w:t>其它</w:t>
      </w:r>
    </w:p>
    <w:p w14:paraId="16D7B7E9">
      <w:pPr>
        <w:spacing w:line="360" w:lineRule="auto"/>
        <w:ind w:firstLine="480"/>
        <w:rPr>
          <w:rFonts w:ascii="宋体" w:hAnsi="宋体" w:eastAsia="宋体"/>
        </w:rPr>
      </w:pPr>
      <w:r>
        <w:rPr>
          <w:rFonts w:ascii="宋体" w:hAnsi="宋体" w:eastAsia="宋体"/>
          <w:sz w:val="24"/>
        </w:rPr>
        <w:t>1.本合同所有附件均为合同的有效组成部分，与本合同具有同等法律效力。</w:t>
      </w:r>
    </w:p>
    <w:p w14:paraId="1F190E77">
      <w:pPr>
        <w:spacing w:line="360" w:lineRule="auto"/>
        <w:ind w:firstLine="480"/>
        <w:rPr>
          <w:rFonts w:ascii="宋体" w:hAnsi="宋体" w:eastAsia="宋体"/>
        </w:rPr>
      </w:pPr>
      <w:r>
        <w:rPr>
          <w:rFonts w:ascii="宋体" w:hAnsi="宋体" w:eastAsia="宋体"/>
          <w:sz w:val="24"/>
        </w:rPr>
        <w:t>2.在执行本合同的过程中，所有经双方签署确认的文件（包括会议纪要、补充协议、往来信函）即成为本合同的有效组成部分。</w:t>
      </w:r>
    </w:p>
    <w:p w14:paraId="42BB383E">
      <w:pPr>
        <w:spacing w:line="360" w:lineRule="auto"/>
        <w:ind w:firstLine="480"/>
        <w:rPr>
          <w:rFonts w:ascii="宋体" w:hAnsi="宋体" w:eastAsia="宋体"/>
        </w:rPr>
      </w:pPr>
      <w:r>
        <w:rPr>
          <w:rFonts w:ascii="宋体" w:hAnsi="宋体" w:eastAsia="宋体"/>
          <w:sz w:val="24"/>
        </w:rPr>
        <w:t>3.如一方地址、电话、传真号码有变更，应在变更当日内书面通知对方，否则，应承担相应责任。</w:t>
      </w:r>
    </w:p>
    <w:p w14:paraId="386582E9">
      <w:pPr>
        <w:spacing w:line="360" w:lineRule="auto"/>
        <w:ind w:firstLine="480"/>
        <w:rPr>
          <w:rFonts w:ascii="宋体" w:hAnsi="宋体" w:eastAsia="宋体"/>
        </w:rPr>
      </w:pPr>
      <w:r>
        <w:rPr>
          <w:rFonts w:ascii="宋体" w:hAnsi="宋体" w:eastAsia="宋体"/>
          <w:sz w:val="24"/>
        </w:rPr>
        <w:t>4.除甲方事先书面同意外，乙方不得部分或全部转让其应履行的合同项下的义务。</w:t>
      </w:r>
    </w:p>
    <w:p w14:paraId="367FDB7F">
      <w:pPr>
        <w:spacing w:line="360" w:lineRule="auto"/>
        <w:ind w:firstLine="241"/>
        <w:rPr>
          <w:rFonts w:ascii="宋体" w:hAnsi="宋体" w:eastAsia="宋体"/>
        </w:rPr>
      </w:pPr>
      <w:r>
        <w:rPr>
          <w:rFonts w:ascii="宋体" w:hAnsi="宋体" w:eastAsia="宋体"/>
          <w:b/>
          <w:sz w:val="24"/>
        </w:rPr>
        <w:t>十</w:t>
      </w:r>
      <w:r>
        <w:rPr>
          <w:rFonts w:hint="eastAsia" w:ascii="宋体" w:hAnsi="宋体" w:eastAsia="宋体"/>
          <w:b/>
          <w:sz w:val="24"/>
        </w:rPr>
        <w:t>五</w:t>
      </w:r>
      <w:r>
        <w:rPr>
          <w:rFonts w:ascii="宋体" w:hAnsi="宋体" w:eastAsia="宋体"/>
          <w:b/>
          <w:sz w:val="24"/>
        </w:rPr>
        <w:t>、合同生效</w:t>
      </w:r>
    </w:p>
    <w:p w14:paraId="437543CE">
      <w:pPr>
        <w:spacing w:line="360" w:lineRule="auto"/>
        <w:ind w:firstLine="480"/>
        <w:rPr>
          <w:rFonts w:ascii="宋体" w:hAnsi="宋体" w:eastAsia="宋体"/>
        </w:rPr>
      </w:pPr>
      <w:r>
        <w:rPr>
          <w:rFonts w:ascii="宋体" w:hAnsi="宋体" w:eastAsia="宋体"/>
          <w:sz w:val="24"/>
        </w:rPr>
        <w:t>1.本合同在甲、乙双方法人代表或其授权代表签章后生效。</w:t>
      </w:r>
    </w:p>
    <w:p w14:paraId="02B21A09">
      <w:pPr>
        <w:spacing w:line="360" w:lineRule="auto"/>
        <w:ind w:firstLine="480"/>
        <w:rPr>
          <w:rFonts w:ascii="宋体" w:hAnsi="宋体" w:eastAsia="宋体"/>
        </w:rPr>
      </w:pPr>
      <w:r>
        <w:rPr>
          <w:rFonts w:ascii="宋体" w:hAnsi="宋体" w:eastAsia="宋体"/>
          <w:sz w:val="24"/>
        </w:rPr>
        <w:t>2.合同一式</w:t>
      </w:r>
      <w:r>
        <w:rPr>
          <w:rFonts w:ascii="宋体" w:hAnsi="宋体" w:eastAsia="宋体"/>
          <w:u w:val="single"/>
        </w:rPr>
        <w:t xml:space="preserve"> </w:t>
      </w:r>
      <w:r>
        <w:rPr>
          <w:rFonts w:hint="eastAsia" w:ascii="宋体" w:hAnsi="宋体" w:eastAsia="宋体"/>
          <w:u w:val="single"/>
        </w:rPr>
        <w:t>陆</w:t>
      </w:r>
      <w:r>
        <w:rPr>
          <w:rFonts w:ascii="宋体" w:hAnsi="宋体" w:eastAsia="宋体"/>
          <w:u w:val="single"/>
        </w:rPr>
        <w:t xml:space="preserve"> </w:t>
      </w:r>
      <w:r>
        <w:rPr>
          <w:rFonts w:ascii="宋体" w:hAnsi="宋体" w:eastAsia="宋体"/>
          <w:sz w:val="24"/>
        </w:rPr>
        <w:t>份，具有同等法律效力，其中甲方</w:t>
      </w:r>
      <w:r>
        <w:rPr>
          <w:rFonts w:ascii="宋体" w:hAnsi="宋体" w:eastAsia="宋体"/>
          <w:u w:val="single"/>
        </w:rPr>
        <w:t xml:space="preserve">  </w:t>
      </w:r>
      <w:r>
        <w:rPr>
          <w:rFonts w:hint="eastAsia" w:ascii="宋体" w:hAnsi="宋体" w:eastAsia="宋体"/>
          <w:u w:val="single"/>
        </w:rPr>
        <w:t>叁</w:t>
      </w:r>
      <w:r>
        <w:rPr>
          <w:rFonts w:ascii="宋体" w:hAnsi="宋体" w:eastAsia="宋体"/>
          <w:u w:val="single"/>
        </w:rPr>
        <w:t xml:space="preserve">  </w:t>
      </w:r>
      <w:r>
        <w:rPr>
          <w:rFonts w:ascii="宋体" w:hAnsi="宋体" w:eastAsia="宋体"/>
          <w:sz w:val="24"/>
        </w:rPr>
        <w:t>份，乙方</w:t>
      </w:r>
      <w:r>
        <w:rPr>
          <w:rFonts w:ascii="宋体" w:hAnsi="宋体" w:eastAsia="宋体"/>
          <w:u w:val="single"/>
        </w:rPr>
        <w:t xml:space="preserve">  </w:t>
      </w:r>
      <w:r>
        <w:rPr>
          <w:rFonts w:hint="eastAsia" w:ascii="宋体" w:hAnsi="宋体" w:eastAsia="宋体"/>
          <w:u w:val="single"/>
        </w:rPr>
        <w:t>叁</w:t>
      </w:r>
      <w:r>
        <w:rPr>
          <w:rFonts w:ascii="宋体" w:hAnsi="宋体" w:eastAsia="宋体"/>
          <w:u w:val="single"/>
        </w:rPr>
        <w:t xml:space="preserve"> </w:t>
      </w:r>
      <w:r>
        <w:rPr>
          <w:rFonts w:ascii="宋体" w:hAnsi="宋体" w:eastAsia="宋体"/>
          <w:sz w:val="24"/>
        </w:rPr>
        <w:t>份。</w:t>
      </w:r>
    </w:p>
    <w:p w14:paraId="6DDF27B2">
      <w:pPr>
        <w:widowControl/>
        <w:spacing w:line="460" w:lineRule="exact"/>
        <w:ind w:firstLine="240" w:firstLineChars="100"/>
        <w:textAlignment w:val="baseline"/>
        <w:rPr>
          <w:rStyle w:val="123"/>
          <w:rFonts w:ascii="宋体" w:hAnsi="宋体" w:eastAsia="宋体"/>
          <w:sz w:val="24"/>
        </w:rPr>
      </w:pPr>
      <w:r>
        <w:rPr>
          <w:rStyle w:val="123"/>
          <w:rFonts w:ascii="宋体" w:hAnsi="宋体" w:eastAsia="宋体"/>
          <w:sz w:val="24"/>
        </w:rPr>
        <w:t>附件1</w:t>
      </w:r>
      <w:r>
        <w:rPr>
          <w:rStyle w:val="123"/>
          <w:rFonts w:hint="eastAsia" w:ascii="宋体" w:hAnsi="宋体" w:eastAsia="宋体"/>
          <w:sz w:val="24"/>
        </w:rPr>
        <w:t xml:space="preserve"> </w:t>
      </w:r>
      <w:r>
        <w:rPr>
          <w:rStyle w:val="123"/>
          <w:rFonts w:ascii="宋体" w:hAnsi="宋体" w:eastAsia="宋体"/>
          <w:sz w:val="24"/>
        </w:rPr>
        <w:t>《廉洁</w:t>
      </w:r>
      <w:r>
        <w:rPr>
          <w:rStyle w:val="123"/>
          <w:rFonts w:hint="eastAsia" w:ascii="宋体" w:hAnsi="宋体" w:eastAsia="宋体"/>
          <w:sz w:val="24"/>
        </w:rPr>
        <w:t>合作</w:t>
      </w:r>
      <w:r>
        <w:rPr>
          <w:rStyle w:val="123"/>
          <w:rFonts w:ascii="宋体" w:hAnsi="宋体" w:eastAsia="宋体"/>
          <w:sz w:val="24"/>
        </w:rPr>
        <w:t>协议</w:t>
      </w:r>
      <w:r>
        <w:rPr>
          <w:rStyle w:val="123"/>
          <w:rFonts w:hint="eastAsia" w:ascii="宋体" w:hAnsi="宋体" w:eastAsia="宋体"/>
          <w:sz w:val="24"/>
        </w:rPr>
        <w:t>书</w:t>
      </w:r>
      <w:r>
        <w:rPr>
          <w:rStyle w:val="123"/>
          <w:rFonts w:ascii="宋体" w:hAnsi="宋体" w:eastAsia="宋体"/>
          <w:sz w:val="24"/>
        </w:rPr>
        <w:t>》</w:t>
      </w:r>
    </w:p>
    <w:p w14:paraId="29AD9C56">
      <w:pPr>
        <w:widowControl/>
        <w:spacing w:line="460" w:lineRule="exact"/>
        <w:ind w:firstLine="240" w:firstLineChars="100"/>
        <w:textAlignment w:val="baseline"/>
        <w:rPr>
          <w:rStyle w:val="123"/>
          <w:rFonts w:ascii="宋体" w:hAnsi="宋体" w:eastAsia="宋体"/>
          <w:sz w:val="24"/>
        </w:rPr>
      </w:pPr>
      <w:r>
        <w:rPr>
          <w:rStyle w:val="123"/>
          <w:rFonts w:hint="eastAsia" w:ascii="宋体" w:hAnsi="宋体" w:eastAsia="宋体"/>
          <w:sz w:val="24"/>
        </w:rPr>
        <w:t>附件2</w:t>
      </w:r>
      <w:r>
        <w:rPr>
          <w:rStyle w:val="123"/>
          <w:rFonts w:ascii="宋体" w:hAnsi="宋体" w:eastAsia="宋体"/>
          <w:sz w:val="24"/>
        </w:rPr>
        <w:t xml:space="preserve"> </w:t>
      </w:r>
      <w:r>
        <w:rPr>
          <w:rStyle w:val="123"/>
          <w:rFonts w:hint="eastAsia" w:ascii="宋体" w:hAnsi="宋体" w:eastAsia="宋体"/>
          <w:sz w:val="24"/>
        </w:rPr>
        <w:t>《安全、职业卫生健康和环境保护管理协议书》</w:t>
      </w:r>
    </w:p>
    <w:p w14:paraId="63E416CE">
      <w:pPr>
        <w:widowControl/>
        <w:spacing w:line="460" w:lineRule="exact"/>
        <w:ind w:firstLine="240" w:firstLineChars="100"/>
        <w:textAlignment w:val="baseline"/>
        <w:rPr>
          <w:rStyle w:val="123"/>
          <w:rFonts w:ascii="宋体" w:hAnsi="宋体" w:eastAsia="宋体"/>
          <w:sz w:val="24"/>
        </w:rPr>
      </w:pPr>
      <w:r>
        <w:rPr>
          <w:rStyle w:val="123"/>
          <w:rFonts w:hint="eastAsia" w:ascii="宋体" w:hAnsi="宋体" w:eastAsia="宋体"/>
          <w:sz w:val="24"/>
        </w:rPr>
        <w:t>附件3  乙方提供材料清单</w:t>
      </w:r>
    </w:p>
    <w:p w14:paraId="2F762B81">
      <w:pPr>
        <w:widowControl/>
        <w:spacing w:line="460" w:lineRule="exact"/>
        <w:ind w:firstLine="240" w:firstLineChars="100"/>
        <w:textAlignment w:val="baseline"/>
        <w:rPr>
          <w:rStyle w:val="123"/>
          <w:rFonts w:ascii="宋体" w:hAnsi="宋体" w:eastAsia="宋体"/>
          <w:sz w:val="24"/>
        </w:rPr>
      </w:pPr>
      <w:r>
        <w:rPr>
          <w:rStyle w:val="123"/>
          <w:rFonts w:hint="eastAsia" w:ascii="宋体" w:hAnsi="宋体" w:eastAsia="宋体"/>
          <w:sz w:val="24"/>
        </w:rPr>
        <w:t>附件4</w:t>
      </w:r>
      <w:r>
        <w:rPr>
          <w:rStyle w:val="123"/>
          <w:rFonts w:ascii="宋体" w:hAnsi="宋体" w:eastAsia="宋体"/>
          <w:sz w:val="24"/>
        </w:rPr>
        <w:t xml:space="preserve">  </w:t>
      </w:r>
      <w:r>
        <w:rPr>
          <w:rFonts w:hint="eastAsia"/>
        </w:rPr>
        <w:t>营运期环境监测计划表</w:t>
      </w:r>
    </w:p>
    <w:p w14:paraId="7BB9BFF7">
      <w:pPr>
        <w:spacing w:line="360" w:lineRule="auto"/>
        <w:ind w:firstLine="480"/>
        <w:rPr>
          <w:rFonts w:ascii="宋体" w:hAnsi="宋体" w:eastAsia="宋体"/>
        </w:rPr>
      </w:pPr>
    </w:p>
    <w:p w14:paraId="68C70D25">
      <w:pPr>
        <w:spacing w:line="360" w:lineRule="auto"/>
        <w:rPr>
          <w:rFonts w:ascii="宋体" w:hAnsi="宋体" w:eastAsia="宋体"/>
        </w:rPr>
      </w:pPr>
    </w:p>
    <w:p w14:paraId="0459E6A2">
      <w:pPr>
        <w:spacing w:line="360" w:lineRule="auto"/>
        <w:rPr>
          <w:rFonts w:ascii="宋体" w:hAnsi="宋体" w:eastAsia="宋体"/>
        </w:rPr>
      </w:pPr>
      <w:r>
        <w:rPr>
          <w:rFonts w:ascii="宋体" w:hAnsi="宋体" w:eastAsia="宋体"/>
          <w:sz w:val="24"/>
        </w:rPr>
        <w:t>（以下无正文）</w:t>
      </w:r>
    </w:p>
    <w:p w14:paraId="05B0F2D5">
      <w:pPr>
        <w:spacing w:line="360" w:lineRule="auto"/>
        <w:ind w:firstLine="420"/>
        <w:rPr>
          <w:rFonts w:ascii="宋体" w:hAnsi="宋体" w:eastAsia="宋体"/>
        </w:rPr>
      </w:pPr>
    </w:p>
    <w:p w14:paraId="1E770AAE">
      <w:pPr>
        <w:spacing w:line="360" w:lineRule="auto"/>
        <w:ind w:firstLine="420"/>
        <w:rPr>
          <w:rFonts w:ascii="宋体" w:hAnsi="宋体" w:eastAsia="宋体"/>
        </w:rPr>
      </w:pPr>
    </w:p>
    <w:p w14:paraId="613EFC94">
      <w:pPr>
        <w:spacing w:line="360" w:lineRule="auto"/>
        <w:ind w:firstLine="420"/>
        <w:rPr>
          <w:rFonts w:ascii="宋体" w:hAnsi="宋体" w:eastAsia="宋体"/>
        </w:rPr>
      </w:pPr>
    </w:p>
    <w:p w14:paraId="127F7E16">
      <w:pPr>
        <w:spacing w:line="360" w:lineRule="auto"/>
        <w:rPr>
          <w:rFonts w:ascii="宋体" w:hAnsi="宋体" w:eastAsia="宋体"/>
        </w:rPr>
      </w:pPr>
    </w:p>
    <w:p w14:paraId="1CDB0F7C">
      <w:pPr>
        <w:spacing w:line="360" w:lineRule="auto"/>
        <w:rPr>
          <w:rFonts w:ascii="宋体" w:hAnsi="宋体" w:eastAsia="宋体"/>
        </w:rPr>
      </w:pPr>
    </w:p>
    <w:p w14:paraId="4AF2CE72">
      <w:pPr>
        <w:spacing w:line="360" w:lineRule="auto"/>
        <w:rPr>
          <w:rFonts w:ascii="宋体" w:hAnsi="宋体" w:eastAsia="宋体"/>
        </w:rPr>
      </w:pPr>
      <w:r>
        <w:rPr>
          <w:rFonts w:ascii="宋体" w:hAnsi="宋体" w:eastAsia="宋体"/>
          <w:sz w:val="24"/>
        </w:rPr>
        <w:t>甲方（</w:t>
      </w:r>
      <w:r>
        <w:rPr>
          <w:rFonts w:hint="eastAsia" w:ascii="宋体" w:hAnsi="宋体" w:eastAsia="宋体"/>
          <w:sz w:val="24"/>
        </w:rPr>
        <w:t>签</w:t>
      </w:r>
      <w:r>
        <w:rPr>
          <w:rFonts w:ascii="宋体" w:hAnsi="宋体" w:eastAsia="宋体"/>
          <w:sz w:val="24"/>
        </w:rPr>
        <w:t>章）：</w:t>
      </w:r>
      <w:r>
        <w:rPr>
          <w:rFonts w:hint="eastAsia" w:ascii="宋体" w:hAnsi="宋体" w:eastAsia="宋体"/>
          <w:sz w:val="24"/>
        </w:rPr>
        <w:t>朗坤环保能源（茂名）有限公司</w:t>
      </w:r>
      <w:r>
        <w:rPr>
          <w:rFonts w:ascii="宋体" w:hAnsi="宋体" w:eastAsia="宋体"/>
          <w:sz w:val="24"/>
        </w:rPr>
        <w:t xml:space="preserve">               </w:t>
      </w:r>
    </w:p>
    <w:p w14:paraId="44AC6F3F">
      <w:pPr>
        <w:spacing w:line="360" w:lineRule="auto"/>
        <w:rPr>
          <w:rFonts w:ascii="宋体" w:hAnsi="宋体" w:eastAsia="宋体"/>
        </w:rPr>
      </w:pPr>
      <w:r>
        <w:rPr>
          <w:rFonts w:ascii="宋体" w:hAnsi="宋体" w:eastAsia="宋体"/>
          <w:sz w:val="24"/>
        </w:rPr>
        <w:t>法定代表/授权代表（</w:t>
      </w:r>
      <w:r>
        <w:rPr>
          <w:rFonts w:hint="eastAsia" w:ascii="宋体" w:hAnsi="宋体" w:eastAsia="宋体"/>
          <w:sz w:val="24"/>
        </w:rPr>
        <w:t>签</w:t>
      </w:r>
      <w:r>
        <w:rPr>
          <w:rFonts w:ascii="宋体" w:hAnsi="宋体" w:eastAsia="宋体"/>
          <w:sz w:val="24"/>
        </w:rPr>
        <w:t>章）：</w:t>
      </w:r>
    </w:p>
    <w:p w14:paraId="5198BE2B">
      <w:pPr>
        <w:spacing w:line="360" w:lineRule="auto"/>
        <w:rPr>
          <w:rFonts w:ascii="宋体" w:hAnsi="宋体" w:eastAsia="宋体"/>
        </w:rPr>
      </w:pPr>
      <w:r>
        <w:rPr>
          <w:rFonts w:ascii="宋体" w:hAnsi="宋体" w:eastAsia="宋体"/>
          <w:sz w:val="24"/>
        </w:rPr>
        <w:t xml:space="preserve">日期：                             </w:t>
      </w:r>
    </w:p>
    <w:p w14:paraId="62DD5241">
      <w:pPr>
        <w:spacing w:line="360" w:lineRule="auto"/>
        <w:rPr>
          <w:rFonts w:ascii="宋体" w:hAnsi="宋体" w:eastAsia="宋体"/>
        </w:rPr>
      </w:pPr>
      <w:r>
        <w:rPr>
          <w:rFonts w:ascii="宋体" w:hAnsi="宋体" w:eastAsia="宋体"/>
          <w:sz w:val="24"/>
        </w:rPr>
        <w:t xml:space="preserve">邮政编码：                         </w:t>
      </w:r>
    </w:p>
    <w:p w14:paraId="2AEDB800">
      <w:pPr>
        <w:spacing w:line="360" w:lineRule="auto"/>
        <w:rPr>
          <w:rFonts w:ascii="宋体" w:hAnsi="宋体" w:eastAsia="宋体"/>
        </w:rPr>
      </w:pPr>
      <w:r>
        <w:rPr>
          <w:rFonts w:ascii="宋体" w:hAnsi="宋体" w:eastAsia="宋体"/>
          <w:sz w:val="24"/>
        </w:rPr>
        <w:t xml:space="preserve">开户名称：                         </w:t>
      </w:r>
    </w:p>
    <w:p w14:paraId="2739F5B2">
      <w:pPr>
        <w:spacing w:line="360" w:lineRule="auto"/>
        <w:rPr>
          <w:rFonts w:ascii="宋体" w:hAnsi="宋体" w:eastAsia="宋体"/>
        </w:rPr>
      </w:pPr>
      <w:r>
        <w:rPr>
          <w:rFonts w:ascii="宋体" w:hAnsi="宋体" w:eastAsia="宋体"/>
          <w:sz w:val="24"/>
        </w:rPr>
        <w:t xml:space="preserve">开户银行：  </w:t>
      </w:r>
    </w:p>
    <w:p w14:paraId="1ED6B4D3">
      <w:pPr>
        <w:spacing w:line="360" w:lineRule="auto"/>
        <w:rPr>
          <w:rFonts w:ascii="宋体" w:hAnsi="宋体" w:eastAsia="宋体"/>
        </w:rPr>
      </w:pPr>
      <w:r>
        <w:rPr>
          <w:rFonts w:ascii="宋体" w:hAnsi="宋体" w:eastAsia="宋体"/>
        </w:rPr>
        <w:t xml:space="preserve">         </w:t>
      </w:r>
    </w:p>
    <w:p w14:paraId="4A0C5761">
      <w:pPr>
        <w:spacing w:line="360" w:lineRule="auto"/>
        <w:rPr>
          <w:rFonts w:ascii="宋体" w:hAnsi="宋体" w:eastAsia="宋体"/>
        </w:rPr>
      </w:pPr>
      <w:r>
        <w:rPr>
          <w:rFonts w:ascii="宋体" w:hAnsi="宋体" w:eastAsia="宋体"/>
          <w:sz w:val="24"/>
        </w:rPr>
        <w:t>乙方（</w:t>
      </w:r>
      <w:r>
        <w:rPr>
          <w:rFonts w:hint="eastAsia" w:ascii="宋体" w:hAnsi="宋体" w:eastAsia="宋体"/>
          <w:sz w:val="24"/>
        </w:rPr>
        <w:t>签</w:t>
      </w:r>
      <w:r>
        <w:rPr>
          <w:rFonts w:ascii="宋体" w:hAnsi="宋体" w:eastAsia="宋体"/>
          <w:sz w:val="24"/>
        </w:rPr>
        <w:t>章）：</w:t>
      </w:r>
    </w:p>
    <w:p w14:paraId="035F05A8">
      <w:pPr>
        <w:spacing w:line="360" w:lineRule="auto"/>
        <w:rPr>
          <w:rFonts w:ascii="宋体" w:hAnsi="宋体" w:eastAsia="宋体"/>
        </w:rPr>
      </w:pPr>
      <w:r>
        <w:rPr>
          <w:rFonts w:ascii="宋体" w:hAnsi="宋体" w:eastAsia="宋体"/>
          <w:sz w:val="24"/>
        </w:rPr>
        <w:t>法定代表/授权代表（</w:t>
      </w:r>
      <w:r>
        <w:rPr>
          <w:rFonts w:hint="eastAsia" w:ascii="宋体" w:hAnsi="宋体" w:eastAsia="宋体"/>
          <w:sz w:val="24"/>
        </w:rPr>
        <w:t>签</w:t>
      </w:r>
      <w:r>
        <w:rPr>
          <w:rFonts w:ascii="宋体" w:hAnsi="宋体" w:eastAsia="宋体"/>
          <w:sz w:val="24"/>
        </w:rPr>
        <w:t>章）：</w:t>
      </w:r>
    </w:p>
    <w:p w14:paraId="6E8E8F55">
      <w:pPr>
        <w:spacing w:line="360" w:lineRule="auto"/>
        <w:rPr>
          <w:rFonts w:ascii="宋体" w:hAnsi="宋体" w:eastAsia="宋体"/>
        </w:rPr>
      </w:pPr>
      <w:r>
        <w:rPr>
          <w:rFonts w:ascii="宋体" w:hAnsi="宋体" w:eastAsia="宋体"/>
          <w:sz w:val="24"/>
        </w:rPr>
        <w:t xml:space="preserve">日期：                             </w:t>
      </w:r>
    </w:p>
    <w:p w14:paraId="3E0026C0">
      <w:pPr>
        <w:spacing w:line="360" w:lineRule="auto"/>
        <w:rPr>
          <w:rFonts w:ascii="宋体" w:hAnsi="宋体" w:eastAsia="宋体"/>
          <w:sz w:val="24"/>
        </w:rPr>
      </w:pPr>
      <w:r>
        <w:rPr>
          <w:rFonts w:ascii="宋体" w:hAnsi="宋体" w:eastAsia="宋体"/>
          <w:sz w:val="24"/>
        </w:rPr>
        <w:t>邮政</w:t>
      </w:r>
      <w:r>
        <w:rPr>
          <w:rFonts w:hint="eastAsia" w:ascii="宋体" w:hAnsi="宋体" w:eastAsia="宋体" w:cs="宋体"/>
          <w:sz w:val="24"/>
        </w:rPr>
        <w:t>编码：</w:t>
      </w:r>
    </w:p>
    <w:p w14:paraId="462A9D46">
      <w:pPr>
        <w:spacing w:line="360" w:lineRule="auto"/>
        <w:rPr>
          <w:rFonts w:ascii="宋体" w:hAnsi="宋体" w:eastAsia="宋体"/>
          <w:sz w:val="24"/>
        </w:rPr>
      </w:pPr>
      <w:r>
        <w:rPr>
          <w:rFonts w:ascii="宋体" w:hAnsi="宋体" w:eastAsia="宋体"/>
          <w:sz w:val="24"/>
        </w:rPr>
        <w:t>开户名称：</w:t>
      </w:r>
    </w:p>
    <w:p w14:paraId="31BB1C61">
      <w:pPr>
        <w:spacing w:line="360" w:lineRule="auto"/>
        <w:rPr>
          <w:rFonts w:ascii="宋体" w:hAnsi="宋体" w:eastAsia="宋体"/>
        </w:rPr>
      </w:pPr>
      <w:r>
        <w:rPr>
          <w:rFonts w:ascii="宋体" w:hAnsi="宋体" w:eastAsia="宋体"/>
          <w:sz w:val="24"/>
        </w:rPr>
        <w:t>开户银行</w:t>
      </w:r>
      <w:r>
        <w:rPr>
          <w:rFonts w:hint="eastAsia" w:ascii="宋体" w:hAnsi="宋体" w:eastAsia="宋体" w:cs="宋体"/>
          <w:sz w:val="24"/>
        </w:rPr>
        <w:t>：</w:t>
      </w:r>
    </w:p>
    <w:p w14:paraId="0A6EC24B">
      <w:pPr>
        <w:autoSpaceDE w:val="0"/>
        <w:autoSpaceDN w:val="0"/>
        <w:spacing w:after="100" w:afterAutospacing="1" w:line="360" w:lineRule="auto"/>
        <w:jc w:val="both"/>
        <w:rPr>
          <w:rFonts w:hint="eastAsia" w:ascii="宋体" w:hAnsi="宋体" w:cs="宋体"/>
          <w:color w:val="000000" w:themeColor="text1"/>
          <w:sz w:val="24"/>
          <w:szCs w:val="24"/>
          <w14:textFill>
            <w14:solidFill>
              <w14:schemeClr w14:val="tx1"/>
            </w14:solidFill>
          </w14:textFill>
        </w:rPr>
        <w:sectPr>
          <w:footerReference r:id="rId9" w:type="default"/>
          <w:pgSz w:w="11907" w:h="16840"/>
          <w:pgMar w:top="1418" w:right="1418" w:bottom="1418" w:left="1418" w:header="851" w:footer="680" w:gutter="0"/>
          <w:pgNumType w:fmt="decimal"/>
          <w:cols w:space="425" w:num="1"/>
          <w:titlePg/>
          <w:docGrid w:linePitch="536" w:charSpace="7143"/>
        </w:sectPr>
      </w:pPr>
    </w:p>
    <w:p w14:paraId="545CB6B9">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6" w:name="_Toc3228"/>
      <w:bookmarkStart w:id="357" w:name="_Toc136173621"/>
      <w:r>
        <w:rPr>
          <w:rFonts w:hint="eastAsia" w:ascii="宋体" w:hAnsi="宋体" w:eastAsia="宋体" w:cs="宋体"/>
          <w:color w:val="000000" w:themeColor="text1"/>
          <w:sz w:val="32"/>
          <w:szCs w:val="32"/>
          <w14:textFill>
            <w14:solidFill>
              <w14:schemeClr w14:val="tx1"/>
            </w14:solidFill>
          </w14:textFill>
        </w:rPr>
        <w:t>第五章  投标文件格式</w:t>
      </w:r>
      <w:bookmarkEnd w:id="356"/>
      <w:bookmarkEnd w:id="357"/>
    </w:p>
    <w:p w14:paraId="6DCCAA7E">
      <w:pPr>
        <w:rPr>
          <w:rFonts w:ascii="宋体" w:hAnsi="宋体" w:eastAsia="宋体" w:cs="宋体"/>
          <w:color w:val="000000" w:themeColor="text1"/>
          <w:lang w:val="zh-CN"/>
          <w14:textFill>
            <w14:solidFill>
              <w14:schemeClr w14:val="tx1"/>
            </w14:solidFill>
          </w14:textFill>
        </w:rPr>
      </w:pPr>
    </w:p>
    <w:p w14:paraId="1F2CC568">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58" w:name="_Toc136173622"/>
      <w:bookmarkStart w:id="359" w:name="_Toc11331"/>
      <w:r>
        <w:rPr>
          <w:rFonts w:hint="eastAsia" w:ascii="宋体" w:hAnsi="宋体" w:eastAsia="宋体" w:cs="宋体"/>
          <w:b/>
          <w:bCs/>
          <w:color w:val="000000" w:themeColor="text1"/>
          <w:sz w:val="28"/>
          <w:szCs w:val="28"/>
          <w:lang w:val="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投标函的格式和内容</w:t>
      </w:r>
      <w:bookmarkEnd w:id="358"/>
      <w:bookmarkEnd w:id="359"/>
    </w:p>
    <w:p w14:paraId="7339EE3E">
      <w:pPr>
        <w:rPr>
          <w:rFonts w:ascii="宋体" w:hAnsi="宋体" w:eastAsia="宋体" w:cs="宋体"/>
          <w:color w:val="000000" w:themeColor="text1"/>
          <w:lang w:val="zh-CN"/>
          <w14:textFill>
            <w14:solidFill>
              <w14:schemeClr w14:val="tx1"/>
            </w14:solidFill>
          </w14:textFill>
        </w:rPr>
      </w:pPr>
    </w:p>
    <w:p w14:paraId="173F67E2">
      <w:pPr>
        <w:widowControl/>
        <w:jc w:val="center"/>
        <w:rPr>
          <w:rFonts w:ascii="宋体" w:hAnsi="宋体" w:eastAsia="宋体" w:cs="宋体"/>
          <w:b/>
          <w:color w:val="000000" w:themeColor="text1"/>
          <w:sz w:val="48"/>
          <w:szCs w:val="48"/>
          <w14:textFill>
            <w14:solidFill>
              <w14:schemeClr w14:val="tx1"/>
            </w14:solidFill>
          </w14:textFill>
        </w:rPr>
      </w:pPr>
    </w:p>
    <w:p w14:paraId="4D2C2CB3">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8"/>
          <w:szCs w:val="48"/>
          <w:lang w:val="en-US" w:eastAsia="zh-CN"/>
          <w14:textFill>
            <w14:solidFill>
              <w14:schemeClr w14:val="tx1"/>
            </w14:solidFill>
          </w14:textFill>
        </w:rPr>
        <w:t>高州</w:t>
      </w:r>
      <w:r>
        <w:rPr>
          <w:rFonts w:hint="eastAsia" w:ascii="宋体" w:hAnsi="宋体" w:eastAsia="宋体" w:cs="宋体"/>
          <w:b/>
          <w:color w:val="000000" w:themeColor="text1"/>
          <w:sz w:val="48"/>
          <w:szCs w:val="48"/>
          <w14:textFill>
            <w14:solidFill>
              <w14:schemeClr w14:val="tx1"/>
            </w14:solidFill>
          </w14:textFill>
        </w:rPr>
        <w:t>项目</w:t>
      </w:r>
    </w:p>
    <w:p w14:paraId="4209EC5B">
      <w:pPr>
        <w:jc w:val="center"/>
        <w:rPr>
          <w:rFonts w:ascii="宋体" w:hAnsi="宋体" w:eastAsia="宋体" w:cs="宋体"/>
          <w:b/>
          <w:color w:val="000000" w:themeColor="text1"/>
          <w:sz w:val="44"/>
          <w:szCs w:val="44"/>
          <w14:textFill>
            <w14:solidFill>
              <w14:schemeClr w14:val="tx1"/>
            </w14:solidFill>
          </w14:textFill>
        </w:rPr>
      </w:pPr>
    </w:p>
    <w:p w14:paraId="796B9319">
      <w:pPr>
        <w:jc w:val="center"/>
        <w:rPr>
          <w:rFonts w:ascii="宋体" w:hAnsi="宋体" w:eastAsia="宋体" w:cs="宋体"/>
          <w:b/>
          <w:color w:val="000000" w:themeColor="text1"/>
          <w:sz w:val="44"/>
          <w:szCs w:val="44"/>
          <w14:textFill>
            <w14:solidFill>
              <w14:schemeClr w14:val="tx1"/>
            </w14:solidFill>
          </w14:textFill>
        </w:rPr>
      </w:pPr>
    </w:p>
    <w:p w14:paraId="58D14313">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2025年-2026年金坑飞灰填埋场运营管理及飞灰转运、填埋服务</w:t>
      </w:r>
    </w:p>
    <w:p w14:paraId="5417CDC1">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39DBBF05">
      <w:pPr>
        <w:spacing w:line="360" w:lineRule="auto"/>
        <w:rPr>
          <w:rFonts w:ascii="宋体" w:hAnsi="宋体" w:eastAsia="宋体" w:cs="宋体"/>
          <w:b/>
          <w:bCs/>
          <w:color w:val="000000" w:themeColor="text1"/>
          <w:sz w:val="84"/>
          <w:szCs w:val="84"/>
          <w14:textFill>
            <w14:solidFill>
              <w14:schemeClr w14:val="tx1"/>
            </w14:solidFill>
          </w14:textFill>
        </w:rPr>
      </w:pPr>
    </w:p>
    <w:p w14:paraId="23D2DADA">
      <w:pPr>
        <w:widowControl/>
        <w:adjustRightInd w:val="0"/>
        <w:snapToGrid w:val="0"/>
        <w:spacing w:line="360" w:lineRule="auto"/>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第一部分 投标函</w:t>
      </w:r>
    </w:p>
    <w:p w14:paraId="58049933">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（招标编号:ITB-LK-GZFD-YY-fw-2025-057）</w:t>
      </w:r>
    </w:p>
    <w:p w14:paraId="76D52DFC">
      <w:pPr>
        <w:jc w:val="center"/>
        <w:rPr>
          <w:rFonts w:ascii="宋体" w:hAnsi="宋体" w:eastAsia="宋体" w:cs="宋体"/>
          <w:b/>
          <w:color w:val="000000" w:themeColor="text1"/>
          <w:sz w:val="28"/>
          <w:szCs w:val="28"/>
          <w14:textFill>
            <w14:solidFill>
              <w14:schemeClr w14:val="tx1"/>
            </w14:solidFill>
          </w14:textFill>
        </w:rPr>
      </w:pPr>
    </w:p>
    <w:p w14:paraId="09D339ED">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53D177D2">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3C4E2121">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2D8994F8">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69957C38">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64688C66">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w:t>
      </w:r>
      <w:r>
        <w:rPr>
          <w:rFonts w:hint="eastAsia" w:ascii="宋体" w:hAnsi="宋体" w:eastAsia="宋体" w:cs="宋体"/>
          <w:bCs/>
          <w:color w:val="000000" w:themeColor="text1"/>
          <w:sz w:val="28"/>
          <w:szCs w:val="28"/>
          <w:lang w:val="en-US" w:eastAsia="zh-CN"/>
          <w14:textFill>
            <w14:solidFill>
              <w14:schemeClr w14:val="tx1"/>
            </w14:solidFill>
          </w14:textFill>
        </w:rPr>
        <w:t>五</w:t>
      </w:r>
      <w:r>
        <w:rPr>
          <w:rFonts w:hint="eastAsia" w:ascii="宋体" w:hAnsi="宋体" w:eastAsia="宋体" w:cs="宋体"/>
          <w:bCs/>
          <w:color w:val="000000" w:themeColor="text1"/>
          <w:sz w:val="28"/>
          <w:szCs w:val="28"/>
          <w:lang w:val="zh-CN"/>
          <w14:textFill>
            <w14:solidFill>
              <w14:schemeClr w14:val="tx1"/>
            </w14:solidFill>
          </w14:textFill>
        </w:rPr>
        <w:t>年  月   日</w:t>
      </w:r>
      <w:bookmarkStart w:id="360" w:name="_Toc456799949"/>
      <w:bookmarkStart w:id="361" w:name="_Toc456799797"/>
      <w:bookmarkStart w:id="362" w:name="_Toc456800087"/>
      <w:bookmarkStart w:id="363" w:name="_Toc456800138"/>
      <w:bookmarkStart w:id="364" w:name="_Toc456799689"/>
      <w:bookmarkStart w:id="365" w:name="_Toc456800168"/>
      <w:bookmarkStart w:id="366" w:name="_Toc456800244"/>
    </w:p>
    <w:p w14:paraId="3495CFB0">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31AB7B9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bookmarkEnd w:id="360"/>
    <w:bookmarkEnd w:id="361"/>
    <w:bookmarkEnd w:id="362"/>
    <w:bookmarkEnd w:id="363"/>
    <w:bookmarkEnd w:id="364"/>
    <w:bookmarkEnd w:id="365"/>
    <w:bookmarkEnd w:id="366"/>
    <w:p w14:paraId="18CE8409">
      <w:pPr>
        <w:tabs>
          <w:tab w:val="left" w:pos="3906"/>
        </w:tabs>
        <w:spacing w:before="120" w:beforeLines="50" w:after="120" w:afterLines="50"/>
        <w:rPr>
          <w:rFonts w:ascii="宋体" w:hAnsi="宋体" w:eastAsia="宋体" w:cs="宋体"/>
          <w:b/>
          <w:color w:val="000000" w:themeColor="text1"/>
          <w:szCs w:val="24"/>
          <w14:textFill>
            <w14:solidFill>
              <w14:schemeClr w14:val="tx1"/>
            </w14:solidFill>
          </w14:textFill>
        </w:rPr>
      </w:pPr>
      <w:bookmarkStart w:id="367" w:name="_Toc456800088"/>
      <w:bookmarkStart w:id="368" w:name="_Toc456800139"/>
      <w:bookmarkStart w:id="369" w:name="_Toc456799950"/>
      <w:bookmarkStart w:id="370" w:name="_Toc456800169"/>
      <w:bookmarkStart w:id="371" w:name="_Toc176085638"/>
      <w:bookmarkStart w:id="372" w:name="_Toc456800245"/>
      <w:bookmarkStart w:id="373" w:name="_Toc456799690"/>
      <w:bookmarkStart w:id="374" w:name="_Toc174521069"/>
      <w:bookmarkStart w:id="375" w:name="_Toc456799798"/>
      <w:r>
        <w:rPr>
          <w:rFonts w:hint="eastAsia" w:ascii="宋体" w:hAnsi="宋体" w:eastAsia="宋体" w:cs="宋体"/>
          <w:b/>
          <w:color w:val="000000" w:themeColor="text1"/>
          <w:szCs w:val="24"/>
          <w14:textFill>
            <w14:solidFill>
              <w14:schemeClr w14:val="tx1"/>
            </w14:solidFill>
          </w14:textFill>
        </w:rPr>
        <w:t>1.1 投标函和授权书</w:t>
      </w:r>
      <w:bookmarkEnd w:id="367"/>
      <w:bookmarkEnd w:id="368"/>
      <w:bookmarkEnd w:id="369"/>
      <w:bookmarkEnd w:id="370"/>
      <w:bookmarkEnd w:id="371"/>
      <w:bookmarkEnd w:id="372"/>
      <w:bookmarkEnd w:id="373"/>
      <w:bookmarkEnd w:id="374"/>
      <w:bookmarkEnd w:id="375"/>
    </w:p>
    <w:p w14:paraId="10FA76F8">
      <w:pPr>
        <w:pStyle w:val="18"/>
        <w:tabs>
          <w:tab w:val="left" w:pos="567"/>
          <w:tab w:val="left" w:pos="3906"/>
        </w:tabs>
        <w:spacing w:beforeLines="50" w:afterLines="50"/>
        <w:ind w:firstLine="360" w:firstLineChars="15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投标人应提供投标函，其格式详见附录5-1-1投标函。在投标函后面应附上投标人的法人代表证明或法人委托授权书见附录5-1-2。</w:t>
      </w:r>
    </w:p>
    <w:p w14:paraId="71CB5B98">
      <w:pPr>
        <w:tabs>
          <w:tab w:val="left" w:pos="3906"/>
        </w:tabs>
        <w:spacing w:before="120" w:beforeLines="50" w:after="120" w:afterLines="50"/>
        <w:jc w:val="left"/>
        <w:rPr>
          <w:rFonts w:ascii="宋体" w:hAnsi="宋体" w:eastAsia="宋体" w:cs="宋体"/>
          <w:b/>
          <w:color w:val="000000" w:themeColor="text1"/>
          <w:szCs w:val="24"/>
          <w14:textFill>
            <w14:solidFill>
              <w14:schemeClr w14:val="tx1"/>
            </w14:solidFill>
          </w14:textFill>
        </w:rPr>
      </w:pPr>
      <w:bookmarkStart w:id="376" w:name="_Toc174521070"/>
      <w:bookmarkStart w:id="377" w:name="_Toc176085639"/>
      <w:bookmarkStart w:id="378" w:name="_Toc456800089"/>
      <w:bookmarkStart w:id="379" w:name="_Toc456800170"/>
      <w:bookmarkStart w:id="380" w:name="_Toc456799951"/>
      <w:bookmarkStart w:id="381" w:name="_Toc456799799"/>
      <w:bookmarkStart w:id="382" w:name="_Toc456800140"/>
      <w:bookmarkStart w:id="383" w:name="_Toc456800246"/>
      <w:bookmarkStart w:id="384" w:name="_Toc456799691"/>
      <w:r>
        <w:rPr>
          <w:rFonts w:hint="eastAsia" w:ascii="宋体" w:hAnsi="宋体" w:eastAsia="宋体" w:cs="宋体"/>
          <w:b/>
          <w:color w:val="000000" w:themeColor="text1"/>
          <w:szCs w:val="24"/>
          <w14:textFill>
            <w14:solidFill>
              <w14:schemeClr w14:val="tx1"/>
            </w14:solidFill>
          </w14:textFill>
        </w:rPr>
        <w:t>2.2 投标</w:t>
      </w:r>
      <w:bookmarkEnd w:id="376"/>
      <w:bookmarkEnd w:id="377"/>
      <w:r>
        <w:rPr>
          <w:rFonts w:hint="eastAsia" w:ascii="宋体" w:hAnsi="宋体" w:eastAsia="宋体" w:cs="宋体"/>
          <w:b/>
          <w:color w:val="000000" w:themeColor="text1"/>
          <w:szCs w:val="24"/>
          <w14:textFill>
            <w14:solidFill>
              <w14:schemeClr w14:val="tx1"/>
            </w14:solidFill>
          </w14:textFill>
        </w:rPr>
        <w:t>报价格式</w:t>
      </w:r>
      <w:bookmarkEnd w:id="378"/>
      <w:bookmarkEnd w:id="379"/>
      <w:bookmarkEnd w:id="380"/>
      <w:bookmarkEnd w:id="381"/>
      <w:bookmarkEnd w:id="382"/>
      <w:bookmarkEnd w:id="383"/>
      <w:bookmarkEnd w:id="384"/>
    </w:p>
    <w:p w14:paraId="7DDFBD21">
      <w:pPr>
        <w:pStyle w:val="18"/>
        <w:tabs>
          <w:tab w:val="left" w:pos="567"/>
          <w:tab w:val="left" w:pos="3906"/>
        </w:tabs>
        <w:spacing w:beforeLines="50" w:afterLines="50"/>
        <w:jc w:val="left"/>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2.1.1总价及分项价格</w:t>
      </w:r>
    </w:p>
    <w:p w14:paraId="47DA8862">
      <w:pPr>
        <w:pStyle w:val="18"/>
        <w:tabs>
          <w:tab w:val="left" w:pos="567"/>
          <w:tab w:val="left" w:pos="3906"/>
        </w:tabs>
        <w:spacing w:beforeLines="50" w:afterLines="50"/>
        <w:ind w:firstLine="360" w:firstLineChars="150"/>
        <w:jc w:val="left"/>
        <w:rPr>
          <w:rFonts w:cs="宋体"/>
          <w:b/>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投标人参照本节附录5-1-5提供的“报价表格式”填报完成招标文件要求的所有工作和服务所需要的分项价格及总价。</w:t>
      </w:r>
    </w:p>
    <w:p w14:paraId="5AAB478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在标书有效期内和合同执行期间（如中标），总价及其分项价格不能增加，且被视为已完全包括了招标文件中要求的全部工作和服务内容所发生的一切成本、利润、管理费和其他一切费用及支出。</w:t>
      </w:r>
    </w:p>
    <w:p w14:paraId="57D2D08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投标人应充分了解</w:t>
      </w:r>
      <w:r>
        <w:rPr>
          <w:rFonts w:hint="eastAsia" w:ascii="宋体" w:hAnsi="宋体" w:eastAsia="宋体" w:cs="宋体"/>
          <w:bCs/>
          <w:color w:val="000000" w:themeColor="text1"/>
          <w:szCs w:val="24"/>
          <w:lang w:val="en-US" w:eastAsia="zh-CN"/>
          <w14:textFill>
            <w14:solidFill>
              <w14:schemeClr w14:val="tx1"/>
            </w14:solidFill>
          </w14:textFill>
        </w:rPr>
        <w:t>项目</w:t>
      </w:r>
      <w:r>
        <w:rPr>
          <w:rFonts w:hint="eastAsia" w:ascii="宋体" w:hAnsi="宋体" w:eastAsia="宋体" w:cs="宋体"/>
          <w:bCs/>
          <w:color w:val="000000" w:themeColor="text1"/>
          <w:szCs w:val="24"/>
          <w14:textFill>
            <w14:solidFill>
              <w14:schemeClr w14:val="tx1"/>
            </w14:solidFill>
          </w14:textFill>
        </w:rPr>
        <w:t>位置、道路、储存空间、装卸条件及任何足以影响投标报价的情况，中标后任何因忽视或误解</w:t>
      </w:r>
      <w:r>
        <w:rPr>
          <w:rFonts w:hint="eastAsia" w:ascii="宋体" w:hAnsi="宋体" w:eastAsia="宋体" w:cs="宋体"/>
          <w:bCs/>
          <w:color w:val="000000" w:themeColor="text1"/>
          <w:szCs w:val="24"/>
          <w:lang w:val="en-US" w:eastAsia="zh-CN"/>
          <w14:textFill>
            <w14:solidFill>
              <w14:schemeClr w14:val="tx1"/>
            </w14:solidFill>
          </w14:textFill>
        </w:rPr>
        <w:t>项目</w:t>
      </w:r>
      <w:r>
        <w:rPr>
          <w:rFonts w:hint="eastAsia" w:ascii="宋体" w:hAnsi="宋体" w:eastAsia="宋体" w:cs="宋体"/>
          <w:bCs/>
          <w:color w:val="000000" w:themeColor="text1"/>
          <w:szCs w:val="24"/>
          <w14:textFill>
            <w14:solidFill>
              <w14:schemeClr w14:val="tx1"/>
            </w14:solidFill>
          </w14:textFill>
        </w:rPr>
        <w:t>情况等导致的索赔或工期延长申请均不被批准。</w:t>
      </w:r>
    </w:p>
    <w:p w14:paraId="214FA49E">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本招标文件中所提供的基础文件仅作参考，投标人要进一步认真核定，此工作量不作为以后索赔的原因。</w:t>
      </w:r>
    </w:p>
    <w:p w14:paraId="1068A3E5">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投标人的报价应包括工作服务范围和服务范围中描述的全部工作服务内容和要求，或从中可推断出的所有工作内容和服务的价格。</w:t>
      </w:r>
    </w:p>
    <w:p w14:paraId="481D3240">
      <w:pPr>
        <w:tabs>
          <w:tab w:val="left" w:pos="3906"/>
        </w:tabs>
        <w:spacing w:before="120" w:beforeLines="50" w:after="120" w:afterLines="50" w:line="360" w:lineRule="auto"/>
        <w:rPr>
          <w:rFonts w:ascii="宋体" w:hAnsi="宋体" w:eastAsia="宋体" w:cs="宋体"/>
          <w:bCs/>
          <w:color w:val="000000" w:themeColor="text1"/>
          <w:szCs w:val="24"/>
          <w14:textFill>
            <w14:solidFill>
              <w14:schemeClr w14:val="tx1"/>
            </w14:solidFill>
          </w14:textFill>
        </w:rPr>
      </w:pPr>
      <w:bookmarkStart w:id="385" w:name="_Toc174521072"/>
      <w:bookmarkStart w:id="386" w:name="_Toc176085641"/>
      <w:r>
        <w:rPr>
          <w:rFonts w:hint="eastAsia" w:ascii="宋体" w:hAnsi="宋体" w:eastAsia="宋体" w:cs="宋体"/>
          <w:color w:val="000000" w:themeColor="text1"/>
          <w:szCs w:val="24"/>
          <w14:textFill>
            <w14:solidFill>
              <w14:schemeClr w14:val="tx1"/>
            </w14:solidFill>
          </w14:textFill>
        </w:rPr>
        <w:t>2.2资格预审资料更新</w:t>
      </w:r>
      <w:bookmarkEnd w:id="385"/>
      <w:bookmarkEnd w:id="386"/>
    </w:p>
    <w:p w14:paraId="102A249C">
      <w:pPr>
        <w:tabs>
          <w:tab w:val="left" w:pos="3906"/>
        </w:tabs>
        <w:spacing w:before="120" w:beforeLines="50" w:after="120" w:afterLines="50" w:line="360" w:lineRule="auto"/>
        <w:ind w:firstLine="511" w:firstLineChars="213"/>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投标人如果已提供过资格预审响应文件，则须在商务标书中详细说明其在资格预审响应文件中提供信息的任何重要变化。</w:t>
      </w:r>
    </w:p>
    <w:p w14:paraId="2985CDBD">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如果投标人没有提供过资格预审响应文件，或没有完全按照要求提供资格预审响应文件，则须在商务标书中提供格审查文件中要求提供的资料。</w:t>
      </w:r>
    </w:p>
    <w:p w14:paraId="7BA1FBD2">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无论在资格预审响应文件中提供与否，投标人应在投标文件中提供其会计事务所审计过的过去三年的合同额、营业额，以及财务资产负债表、损益表和现金流量表。</w:t>
      </w:r>
      <w:bookmarkStart w:id="387" w:name="_Toc176085643"/>
      <w:bookmarkStart w:id="388" w:name="_Toc174521074"/>
    </w:p>
    <w:p w14:paraId="6472A666">
      <w:pPr>
        <w:tabs>
          <w:tab w:val="left" w:pos="3906"/>
        </w:tabs>
        <w:spacing w:before="120" w:beforeLines="50" w:after="120" w:afterLines="50"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2.3商务偏差</w:t>
      </w:r>
      <w:bookmarkEnd w:id="387"/>
      <w:bookmarkEnd w:id="388"/>
    </w:p>
    <w:p w14:paraId="5571366A">
      <w:pPr>
        <w:pStyle w:val="95"/>
        <w:tabs>
          <w:tab w:val="left" w:pos="3906"/>
          <w:tab w:val="clear" w:pos="360"/>
        </w:tabs>
        <w:spacing w:before="120" w:beforeLines="50" w:after="120" w:afterLines="50" w:line="360" w:lineRule="auto"/>
        <w:ind w:left="0" w:firstLine="0"/>
        <w:rPr>
          <w:rFonts w:ascii="宋体" w:hAnsi="宋体" w:cs="宋体"/>
          <w:b w:val="0"/>
          <w:bCs/>
          <w:color w:val="000000" w:themeColor="text1"/>
          <w:szCs w:val="24"/>
          <w:lang w:eastAsia="zh-CN"/>
          <w14:textFill>
            <w14:solidFill>
              <w14:schemeClr w14:val="tx1"/>
            </w14:solidFill>
          </w14:textFill>
        </w:rPr>
      </w:pPr>
      <w:r>
        <w:rPr>
          <w:rFonts w:hint="eastAsia" w:ascii="宋体" w:hAnsi="宋体" w:cs="宋体"/>
          <w:b w:val="0"/>
          <w:bCs/>
          <w:color w:val="000000" w:themeColor="text1"/>
          <w:szCs w:val="24"/>
          <w:lang w:eastAsia="zh-CN"/>
          <w14:textFill>
            <w14:solidFill>
              <w14:schemeClr w14:val="tx1"/>
            </w14:solidFill>
          </w14:textFill>
        </w:rPr>
        <w:t>投标人须将商务标书中任何与招标文件要求的任何不一致之处在本节附件1-6商务偏差表中列明。</w:t>
      </w:r>
      <w:bookmarkStart w:id="389" w:name="_Toc174521075"/>
      <w:bookmarkStart w:id="390" w:name="_Toc176085644"/>
    </w:p>
    <w:p w14:paraId="4BDE3A54">
      <w:pPr>
        <w:tabs>
          <w:tab w:val="left" w:pos="3906"/>
        </w:tabs>
        <w:spacing w:before="120" w:beforeLines="50" w:after="120" w:afterLines="5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2.4附件</w:t>
      </w:r>
      <w:bookmarkEnd w:id="389"/>
      <w:bookmarkEnd w:id="390"/>
      <w:r>
        <w:rPr>
          <w:rFonts w:hint="eastAsia" w:ascii="宋体" w:hAnsi="宋体" w:eastAsia="宋体" w:cs="宋体"/>
          <w:b/>
          <w:color w:val="000000" w:themeColor="text1"/>
          <w:szCs w:val="24"/>
          <w14:textFill>
            <w14:solidFill>
              <w14:schemeClr w14:val="tx1"/>
            </w14:solidFill>
          </w14:textFill>
        </w:rPr>
        <w:t xml:space="preserve">详后。 </w:t>
      </w:r>
    </w:p>
    <w:p w14:paraId="609FDE76">
      <w:pPr>
        <w:spacing w:line="580" w:lineRule="exact"/>
        <w:rPr>
          <w:rFonts w:ascii="宋体" w:hAnsi="宋体" w:eastAsia="宋体" w:cs="宋体"/>
          <w:b/>
          <w:bCs/>
          <w:color w:val="000000" w:themeColor="text1"/>
          <w:szCs w:val="24"/>
          <w14:textFill>
            <w14:solidFill>
              <w14:schemeClr w14:val="tx1"/>
            </w14:solidFill>
          </w14:textFill>
        </w:rPr>
      </w:pPr>
    </w:p>
    <w:p w14:paraId="6D34E29C">
      <w:pPr>
        <w:tabs>
          <w:tab w:val="left" w:pos="3906"/>
        </w:tabs>
        <w:spacing w:before="120" w:beforeLines="50" w:after="120" w:afterLines="50" w:line="360" w:lineRule="auto"/>
        <w:rPr>
          <w:rFonts w:ascii="宋体" w:hAnsi="宋体" w:eastAsia="宋体" w:cs="宋体"/>
          <w:b/>
          <w:color w:val="000000" w:themeColor="text1"/>
          <w:szCs w:val="24"/>
          <w14:textFill>
            <w14:solidFill>
              <w14:schemeClr w14:val="tx1"/>
            </w14:solidFill>
          </w14:textFill>
        </w:rPr>
      </w:pPr>
      <w:bookmarkStart w:id="391" w:name="_Toc176085645"/>
      <w:bookmarkStart w:id="392" w:name="_Toc174521076"/>
      <w:bookmarkStart w:id="393" w:name="_Toc456799695"/>
      <w:bookmarkStart w:id="394" w:name="_Toc456799955"/>
      <w:bookmarkStart w:id="395" w:name="_Toc456799803"/>
      <w:r>
        <w:rPr>
          <w:rFonts w:hint="eastAsia" w:ascii="宋体" w:hAnsi="宋体" w:eastAsia="宋体" w:cs="宋体"/>
          <w:b/>
          <w:color w:val="000000" w:themeColor="text1"/>
          <w:szCs w:val="24"/>
          <w14:textFill>
            <w14:solidFill>
              <w14:schemeClr w14:val="tx1"/>
            </w14:solidFill>
          </w14:textFill>
        </w:rPr>
        <w:t>附录5-1-1 投标函</w:t>
      </w:r>
      <w:bookmarkEnd w:id="391"/>
      <w:bookmarkEnd w:id="392"/>
    </w:p>
    <w:p w14:paraId="1F9E7F27">
      <w:pPr>
        <w:suppressAutoHyphens/>
        <w:spacing w:line="360" w:lineRule="auto"/>
        <w:jc w:val="center"/>
        <w:rPr>
          <w:rFonts w:ascii="宋体" w:hAnsi="宋体" w:eastAsia="宋体" w:cs="宋体"/>
          <w:b/>
          <w:color w:val="000000" w:themeColor="text1"/>
          <w:szCs w:val="24"/>
          <w14:textFill>
            <w14:solidFill>
              <w14:schemeClr w14:val="tx1"/>
            </w14:solidFill>
          </w14:textFill>
        </w:rPr>
      </w:pPr>
      <w:bookmarkStart w:id="396" w:name="_Toc456799692"/>
      <w:bookmarkStart w:id="397" w:name="_Toc456800171"/>
      <w:bookmarkStart w:id="398" w:name="_Toc456800141"/>
      <w:bookmarkStart w:id="399" w:name="_Toc456799952"/>
      <w:bookmarkStart w:id="400" w:name="_Toc456800090"/>
      <w:bookmarkStart w:id="401" w:name="_Toc456799800"/>
      <w:r>
        <w:rPr>
          <w:rFonts w:hint="eastAsia" w:ascii="宋体" w:hAnsi="宋体" w:eastAsia="宋体" w:cs="宋体"/>
          <w:b/>
          <w:color w:val="000000" w:themeColor="text1"/>
          <w:szCs w:val="24"/>
          <w14:textFill>
            <w14:solidFill>
              <w14:schemeClr w14:val="tx1"/>
            </w14:solidFill>
          </w14:textFill>
        </w:rPr>
        <w:t>投标函</w:t>
      </w:r>
      <w:bookmarkEnd w:id="396"/>
      <w:bookmarkEnd w:id="397"/>
      <w:bookmarkEnd w:id="398"/>
      <w:bookmarkEnd w:id="399"/>
      <w:bookmarkEnd w:id="400"/>
      <w:bookmarkEnd w:id="401"/>
    </w:p>
    <w:p w14:paraId="7B904A89">
      <w:pPr>
        <w:spacing w:line="360" w:lineRule="auto"/>
        <w:jc w:val="left"/>
        <w:rPr>
          <w:rFonts w:ascii="宋体" w:hAnsi="宋体" w:eastAsia="宋体" w:cs="宋体"/>
          <w:color w:val="000000" w:themeColor="text1"/>
          <w:szCs w:val="24"/>
          <w14:textFill>
            <w14:solidFill>
              <w14:schemeClr w14:val="tx1"/>
            </w14:solidFill>
          </w14:textFill>
        </w:rPr>
      </w:pPr>
    </w:p>
    <w:p w14:paraId="31150251">
      <w:pPr>
        <w:suppressAutoHyphens/>
        <w:spacing w:line="360" w:lineRule="auto"/>
        <w:jc w:val="left"/>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w:t>
      </w:r>
      <w:r>
        <w:rPr>
          <w:rFonts w:hint="eastAsia" w:ascii="宋体" w:hAnsi="宋体" w:eastAsia="宋体" w:cs="宋体"/>
          <w:color w:val="000000" w:themeColor="text1"/>
          <w:szCs w:val="24"/>
          <w:lang w:val="en-US" w:eastAsia="zh-CN"/>
          <w14:textFill>
            <w14:solidFill>
              <w14:schemeClr w14:val="tx1"/>
            </w14:solidFill>
          </w14:textFill>
        </w:rPr>
        <w:t>朗坤环保能源（茂名）有限公司</w:t>
      </w:r>
    </w:p>
    <w:p w14:paraId="48D1E271">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地址：广东省茂名市高州市金山开发区金辉西路西南朗坤垃圾电厂</w:t>
      </w:r>
    </w:p>
    <w:p w14:paraId="37D8C6F6">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电话：0668-6139715</w:t>
      </w:r>
    </w:p>
    <w:p w14:paraId="11B39CF6">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35191092">
      <w:pPr>
        <w:spacing w:line="360" w:lineRule="auto"/>
        <w:ind w:left="521" w:leftChars="217"/>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，按照贵方的招标书（发标日期： 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日，招标号：</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）的要求进行报价，并在此呈上我方的投标文件（包括开标一览表、技术标书和商务标书三部分）。</w:t>
      </w:r>
    </w:p>
    <w:p w14:paraId="145A521C">
      <w:pPr>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在所附商务标书中，我方的报价为：__________________</w:t>
      </w:r>
      <w:r>
        <w:rPr>
          <w:rFonts w:hint="eastAsia" w:ascii="宋体" w:hAnsi="宋体" w:eastAsia="宋体" w:cs="宋体"/>
          <w:color w:val="000000" w:themeColor="text1"/>
          <w:szCs w:val="24"/>
          <w:lang w:val="en-US" w:eastAsia="zh-CN"/>
          <w14:textFill>
            <w14:solidFill>
              <w14:schemeClr w14:val="tx1"/>
            </w14:solidFill>
          </w14:textFill>
        </w:rPr>
        <w:t>元/吨</w:t>
      </w:r>
      <w:r>
        <w:rPr>
          <w:rFonts w:hint="eastAsia" w:ascii="宋体" w:hAnsi="宋体" w:eastAsia="宋体" w:cs="宋体"/>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大写</w:t>
      </w:r>
      <w:r>
        <w:rPr>
          <w:rFonts w:hint="eastAsia" w:ascii="宋体" w:hAnsi="宋体" w:eastAsia="宋体" w:cs="宋体"/>
          <w:color w:val="000000" w:themeColor="text1"/>
          <w:szCs w:val="24"/>
          <w:u w:val="single"/>
          <w14:textFill>
            <w14:solidFill>
              <w14:schemeClr w14:val="tx1"/>
            </w14:solidFill>
          </w14:textFill>
        </w:rPr>
        <w:t>:         ）</w:t>
      </w:r>
      <w:r>
        <w:rPr>
          <w:rFonts w:hint="eastAsia" w:ascii="宋体" w:hAnsi="宋体" w:eastAsia="宋体" w:cs="宋体"/>
          <w:color w:val="000000" w:themeColor="text1"/>
          <w:szCs w:val="24"/>
          <w14:textFill>
            <w14:solidFill>
              <w14:schemeClr w14:val="tx1"/>
            </w14:solidFill>
          </w14:textFill>
        </w:rPr>
        <w:t>。该报价为</w:t>
      </w:r>
      <w:r>
        <w:rPr>
          <w:rFonts w:hint="eastAsia" w:ascii="宋体" w:hAnsi="宋体" w:eastAsia="宋体" w:cs="宋体"/>
          <w:color w:val="000000" w:themeColor="text1"/>
          <w:szCs w:val="24"/>
          <w:lang w:val="en-US" w:eastAsia="zh-CN"/>
          <w14:textFill>
            <w14:solidFill>
              <w14:schemeClr w14:val="tx1"/>
            </w14:solidFill>
          </w14:textFill>
        </w:rPr>
        <w:t>固定综合单价</w:t>
      </w:r>
      <w:r>
        <w:rPr>
          <w:rFonts w:hint="eastAsia" w:ascii="宋体" w:hAnsi="宋体" w:eastAsia="宋体" w:cs="宋体"/>
          <w:color w:val="000000" w:themeColor="text1"/>
          <w:szCs w:val="24"/>
          <w14:textFill>
            <w14:solidFill>
              <w14:schemeClr w14:val="tx1"/>
            </w14:solidFill>
          </w14:textFill>
        </w:rPr>
        <w:t>，即固定单价包括但不限于：人工费（含运输司机）、机具费（含运输及吊装机具等）、材料费（含药剂、膜等）、各类小型工器具费、机具及工器具维保费、卸车费、差旅费、食宿费、劳保用品费、外部协调费、人员与机械保险费、职业健康体检费、风险费（包括但不限于垃圾填埋场的施工难度、环境条件、周边外部人为因素影响等，如政府部门相关风险甲乙双方共同磋商解决）、临时设施费、填埋场各类日常常规监测费、填埋场应急管理费、填埋场运营材料费及水电费、垃圾清运费、安全文明和技术措施费、企业管理费、利润、税费等为完成本协议约定的工作内容所需的所有费用。</w:t>
      </w:r>
    </w:p>
    <w:p w14:paraId="64DCCB42">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在投标文件有效期内，即在（</w:t>
      </w:r>
      <w:r>
        <w:rPr>
          <w:rFonts w:hint="eastAsia" w:ascii="宋体" w:hAnsi="宋体" w:eastAsia="宋体" w:cs="宋体"/>
          <w:color w:val="000000" w:themeColor="text1"/>
          <w:szCs w:val="24"/>
          <w:u w:val="single"/>
          <w14:textFill>
            <w14:solidFill>
              <w14:schemeClr w14:val="tx1"/>
            </w14:solidFill>
          </w14:textFill>
        </w:rPr>
        <w:t>有效期满）</w:t>
      </w:r>
      <w:r>
        <w:rPr>
          <w:rFonts w:hint="eastAsia" w:ascii="宋体" w:hAnsi="宋体" w:eastAsia="宋体" w:cs="宋体"/>
          <w:color w:val="000000" w:themeColor="text1"/>
          <w:szCs w:val="24"/>
          <w14:textFill>
            <w14:solidFill>
              <w14:schemeClr w14:val="tx1"/>
            </w14:solidFill>
          </w14:textFill>
        </w:rPr>
        <w:t>前，我方的投标文件对我方是具有约束力的，并且可以根据合同谈判的结果进行修改。一旦中标，有效期延至合同终止，我方承诺按照你方的要求开工，并在我方承诺的时间期限内完成招标文件中要求的全部工作。</w:t>
      </w:r>
    </w:p>
    <w:p w14:paraId="267F04F6">
      <w:pPr>
        <w:spacing w:line="360" w:lineRule="auto"/>
        <w:ind w:firstLine="470" w:firstLineChars="19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我方已详细研究了解招标文件的所有内容包括修正文（如果有）和所有已提供的参考资料以及有关附件并完全明白, 我方放弃在此方面提出含糊意见或误解的一切权力。</w:t>
      </w:r>
    </w:p>
    <w:p w14:paraId="3DB7BAE6">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我方理解你方不一定接受最低报价或任何贵方可能收到的投标。</w:t>
      </w:r>
    </w:p>
    <w:p w14:paraId="273ECE30">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699AAC18">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2310A399">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1DF43835">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615D4911">
      <w:pPr>
        <w:wordWrap w:val="0"/>
        <w:spacing w:line="360" w:lineRule="auto"/>
        <w:ind w:right="480" w:firstLine="3960" w:firstLineChars="16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  月  日</w:t>
      </w:r>
    </w:p>
    <w:p w14:paraId="3F684C44">
      <w:pPr>
        <w:rPr>
          <w:rFonts w:ascii="宋体" w:hAnsi="宋体" w:eastAsia="宋体" w:cs="宋体"/>
          <w:color w:val="000000" w:themeColor="text1"/>
          <w:szCs w:val="24"/>
          <w14:textFill>
            <w14:solidFill>
              <w14:schemeClr w14:val="tx1"/>
            </w14:solidFill>
          </w14:textFill>
        </w:rPr>
      </w:pPr>
    </w:p>
    <w:p w14:paraId="63387236">
      <w:pPr>
        <w:spacing w:line="360" w:lineRule="auto"/>
        <w:jc w:val="left"/>
        <w:rPr>
          <w:rFonts w:ascii="宋体" w:hAnsi="宋体" w:eastAsia="宋体" w:cs="宋体"/>
          <w:b/>
          <w:color w:val="000000" w:themeColor="text1"/>
          <w:szCs w:val="24"/>
          <w14:textFill>
            <w14:solidFill>
              <w14:schemeClr w14:val="tx1"/>
            </w14:solidFill>
          </w14:textFill>
        </w:rPr>
      </w:pPr>
      <w:bookmarkStart w:id="402" w:name="_Toc456799693"/>
      <w:bookmarkStart w:id="403" w:name="_Toc456800091"/>
      <w:bookmarkStart w:id="404" w:name="_Toc456799801"/>
      <w:bookmarkStart w:id="405" w:name="_Toc456799953"/>
    </w:p>
    <w:p w14:paraId="00DA049F">
      <w:pPr>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附录5-1-2 法人代表人授权书</w:t>
      </w:r>
      <w:bookmarkEnd w:id="402"/>
      <w:bookmarkEnd w:id="403"/>
      <w:bookmarkEnd w:id="404"/>
      <w:bookmarkEnd w:id="405"/>
    </w:p>
    <w:p w14:paraId="6B8CDBD3">
      <w:pPr>
        <w:spacing w:line="360" w:lineRule="auto"/>
        <w:ind w:firstLine="525"/>
        <w:jc w:val="center"/>
        <w:rPr>
          <w:rFonts w:ascii="宋体" w:hAnsi="宋体" w:eastAsia="宋体" w:cs="宋体"/>
          <w:b/>
          <w:color w:val="000000" w:themeColor="text1"/>
          <w:szCs w:val="24"/>
          <w14:textFill>
            <w14:solidFill>
              <w14:schemeClr w14:val="tx1"/>
            </w14:solidFill>
          </w14:textFill>
        </w:rPr>
      </w:pPr>
      <w:bookmarkStart w:id="406" w:name="_Toc456799802"/>
      <w:bookmarkStart w:id="407" w:name="_Toc456800247"/>
      <w:bookmarkStart w:id="408" w:name="_Toc456800092"/>
      <w:bookmarkStart w:id="409" w:name="_Toc456800172"/>
      <w:bookmarkStart w:id="410" w:name="_Toc456800142"/>
      <w:bookmarkStart w:id="411" w:name="_Toc456799694"/>
      <w:bookmarkStart w:id="412" w:name="_Toc456799954"/>
      <w:r>
        <w:rPr>
          <w:rFonts w:hint="eastAsia" w:ascii="宋体" w:hAnsi="宋体" w:eastAsia="宋体" w:cs="宋体"/>
          <w:b/>
          <w:color w:val="000000" w:themeColor="text1"/>
          <w:szCs w:val="24"/>
          <w14:textFill>
            <w14:solidFill>
              <w14:schemeClr w14:val="tx1"/>
            </w14:solidFill>
          </w14:textFill>
        </w:rPr>
        <w:t>法定代表人授权书</w:t>
      </w:r>
      <w:bookmarkEnd w:id="406"/>
      <w:bookmarkEnd w:id="407"/>
      <w:bookmarkEnd w:id="408"/>
      <w:bookmarkEnd w:id="409"/>
      <w:bookmarkEnd w:id="410"/>
      <w:bookmarkEnd w:id="411"/>
      <w:bookmarkEnd w:id="412"/>
    </w:p>
    <w:p w14:paraId="7814A2DC">
      <w:pPr>
        <w:spacing w:line="360" w:lineRule="auto"/>
        <w:rPr>
          <w:rFonts w:ascii="宋体" w:hAnsi="宋体" w:eastAsia="宋体" w:cs="宋体"/>
          <w:color w:val="000000" w:themeColor="text1"/>
          <w:szCs w:val="24"/>
          <w14:textFill>
            <w14:solidFill>
              <w14:schemeClr w14:val="tx1"/>
            </w14:solidFill>
          </w14:textFill>
        </w:rPr>
      </w:pPr>
    </w:p>
    <w:p w14:paraId="3748EE43">
      <w:pPr>
        <w:spacing w:line="360" w:lineRule="auto"/>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w:t>
      </w:r>
      <w:r>
        <w:rPr>
          <w:rFonts w:hint="eastAsia" w:ascii="宋体" w:hAnsi="宋体" w:eastAsia="宋体" w:cs="宋体"/>
          <w:color w:val="000000" w:themeColor="text1"/>
          <w:szCs w:val="24"/>
          <w:lang w:val="en-US" w:eastAsia="zh-CN"/>
          <w14:textFill>
            <w14:solidFill>
              <w14:schemeClr w14:val="tx1"/>
            </w14:solidFill>
          </w14:textFill>
        </w:rPr>
        <w:t>朗坤环保能源（茂名）有限公司</w:t>
      </w:r>
    </w:p>
    <w:p w14:paraId="6C01CA0D">
      <w:pPr>
        <w:spacing w:line="360" w:lineRule="auto"/>
        <w:ind w:firstLine="720" w:firstLineChars="30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本授权书声明：注册于中华人民共和国的</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的在下面签字的</w:t>
      </w:r>
      <w:r>
        <w:rPr>
          <w:rFonts w:hint="eastAsia" w:ascii="宋体" w:hAnsi="宋体" w:eastAsia="宋体" w:cs="宋体"/>
          <w:color w:val="000000" w:themeColor="text1"/>
          <w:szCs w:val="24"/>
          <w:u w:val="single"/>
          <w14:textFill>
            <w14:solidFill>
              <w14:schemeClr w14:val="tx1"/>
            </w14:solidFill>
          </w14:textFill>
        </w:rPr>
        <w:t>（法定代表人姓名职务）</w:t>
      </w:r>
      <w:r>
        <w:rPr>
          <w:rFonts w:hint="eastAsia" w:ascii="宋体" w:hAnsi="宋体" w:eastAsia="宋体" w:cs="宋体"/>
          <w:color w:val="000000" w:themeColor="text1"/>
          <w:szCs w:val="24"/>
          <w14:textFill>
            <w14:solidFill>
              <w14:schemeClr w14:val="tx1"/>
            </w14:solidFill>
          </w14:textFill>
        </w:rPr>
        <w:t>代表本公司授权的在下面签字的</w:t>
      </w:r>
      <w:r>
        <w:rPr>
          <w:rFonts w:hint="eastAsia" w:ascii="宋体" w:hAnsi="宋体" w:eastAsia="宋体" w:cs="宋体"/>
          <w:color w:val="000000" w:themeColor="text1"/>
          <w:szCs w:val="24"/>
          <w:u w:val="single"/>
          <w14:textFill>
            <w14:solidFill>
              <w14:schemeClr w14:val="tx1"/>
            </w14:solidFill>
          </w14:textFill>
        </w:rPr>
        <w:t>（被授权人的姓名职务）</w:t>
      </w:r>
      <w:r>
        <w:rPr>
          <w:rFonts w:hint="eastAsia" w:ascii="宋体" w:hAnsi="宋体" w:eastAsia="宋体" w:cs="宋体"/>
          <w:color w:val="000000" w:themeColor="text1"/>
          <w:szCs w:val="24"/>
          <w14:textFill>
            <w14:solidFill>
              <w14:schemeClr w14:val="tx1"/>
            </w14:solidFill>
          </w14:textFill>
        </w:rPr>
        <w:t>为本公司的合法代</w:t>
      </w:r>
      <w:r>
        <w:rPr>
          <w:rFonts w:hint="eastAsia" w:ascii="宋体" w:hAnsi="宋体" w:eastAsia="宋体" w:cs="宋体"/>
          <w:szCs w:val="24"/>
        </w:rPr>
        <w:t>理人，就</w:t>
      </w:r>
      <w:r>
        <w:rPr>
          <w:rFonts w:hint="eastAsia" w:ascii="宋体" w:hAnsi="宋体" w:eastAsia="宋体" w:cs="宋体"/>
          <w:szCs w:val="24"/>
          <w:u w:val="single"/>
        </w:rPr>
        <w:t xml:space="preserve">                         （项目名称）的高州项目2025年-2026年金坑飞灰填埋场运营管理及飞灰转运、填埋服务</w:t>
      </w:r>
      <w:r>
        <w:rPr>
          <w:rFonts w:hint="eastAsia" w:ascii="宋体" w:hAnsi="宋体" w:eastAsia="宋体" w:cs="宋体"/>
          <w:szCs w:val="24"/>
        </w:rPr>
        <w:t>的投标，以本公司名义处理一切与之有关的事务。</w:t>
      </w:r>
      <w:r>
        <w:rPr>
          <w:rFonts w:hint="eastAsia" w:ascii="宋体" w:hAnsi="宋体" w:eastAsia="宋体" w:cs="宋体"/>
          <w:color w:val="000000" w:themeColor="text1"/>
          <w:szCs w:val="24"/>
          <w14:textFill>
            <w14:solidFill>
              <w14:schemeClr w14:val="tx1"/>
            </w14:solidFill>
          </w14:textFill>
        </w:rPr>
        <w:t>（本授权只作为投标使用，其它事宜另行授权）</w:t>
      </w:r>
    </w:p>
    <w:p w14:paraId="3FD19F93">
      <w:pPr>
        <w:spacing w:line="360" w:lineRule="auto"/>
        <w:ind w:firstLine="360" w:firstLineChars="1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本授权书于202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   月     日签字生效，有效期为360天。特此声明。</w:t>
      </w:r>
    </w:p>
    <w:p w14:paraId="3E43CCF5">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代理人无转委托权。</w:t>
      </w:r>
    </w:p>
    <w:p w14:paraId="5DC725BF">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特此委托。</w:t>
      </w:r>
    </w:p>
    <w:p w14:paraId="288A42F5">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250825</wp:posOffset>
                </wp:positionV>
                <wp:extent cx="2085975" cy="1143000"/>
                <wp:effectExtent l="0" t="0" r="952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5975" cy="1143000"/>
                        </a:xfrm>
                        <a:prstGeom prst="rect">
                          <a:avLst/>
                        </a:prstGeom>
                        <a:solidFill>
                          <a:srgbClr val="FFFFFF"/>
                        </a:solidFill>
                        <a:ln w="9525">
                          <a:solidFill>
                            <a:srgbClr val="000000"/>
                          </a:solidFill>
                          <a:prstDash val="lgDash"/>
                          <a:miter lim="800000"/>
                        </a:ln>
                      </wps:spPr>
                      <wps:txbx>
                        <w:txbxContent>
                          <w:p w14:paraId="3D5652AC">
                            <w:pPr>
                              <w:jc w:val="center"/>
                            </w:pPr>
                          </w:p>
                          <w:p w14:paraId="35AFA226">
                            <w:pPr>
                              <w:jc w:val="center"/>
                            </w:pPr>
                          </w:p>
                          <w:p w14:paraId="7161B038">
                            <w:pPr>
                              <w:jc w:val="center"/>
                            </w:pPr>
                            <w:r>
                              <w:rPr>
                                <w:rFonts w:hint="eastAsia"/>
                              </w:rPr>
                              <w:t>居民身份证粘贴处 正</w:t>
                            </w:r>
                            <w:r>
                              <w:t>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6.35pt;margin-top:19.75pt;height:90pt;width:164.25pt;z-index:251660288;mso-width-relative:page;mso-height-relative:page;" fillcolor="#FFFFFF" filled="t" stroked="t" coordsize="21600,21600" o:gfxdata="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XeUDVAAAACgEAAA8AAAAAAAAAAQAgAAAAIgAAAGRy&#10;cy9kb3ducmV2LnhtbFBLAQIUABQAAAAIAIdO4kCdEfISQQIAAKEEAAAOAAAAAAAAAAEAIAAAACQB&#10;AABkcnMvZTJvRG9jLnhtbFBLBQYAAAAABgAGAFkBAADXBQAAAAA=&#10;">
                <v:fill on="t" focussize="0,0"/>
                <v:stroke color="#000000" miterlimit="8" joinstyle="miter" dashstyle="longDash"/>
                <v:imagedata o:title=""/>
                <o:lock v:ext="edit" aspectratio="f"/>
                <v:textbox>
                  <w:txbxContent>
                    <w:p w14:paraId="3D5652AC">
                      <w:pPr>
                        <w:jc w:val="center"/>
                      </w:pPr>
                    </w:p>
                    <w:p w14:paraId="35AFA226">
                      <w:pPr>
                        <w:jc w:val="center"/>
                      </w:pPr>
                    </w:p>
                    <w:p w14:paraId="7161B038">
                      <w:pPr>
                        <w:jc w:val="center"/>
                      </w:pPr>
                      <w:r>
                        <w:rPr>
                          <w:rFonts w:hint="eastAsia"/>
                        </w:rPr>
                        <w:t>居民身份证粘贴处 正</w:t>
                      </w:r>
                      <w:r>
                        <w:t>反面</w:t>
                      </w:r>
                    </w:p>
                  </w:txbxContent>
                </v:textbox>
              </v:shape>
            </w:pict>
          </mc:Fallback>
        </mc:AlternateContent>
      </w:r>
    </w:p>
    <w:p w14:paraId="78858AE9">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6BADC1DC">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630B4D4E">
      <w:pPr>
        <w:spacing w:line="58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p w14:paraId="171B234F">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7D57AC34">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1196D173">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3BE3942C">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  月  日</w:t>
      </w:r>
    </w:p>
    <w:p w14:paraId="3A1D1516">
      <w:pPr>
        <w:spacing w:line="360" w:lineRule="auto"/>
        <w:ind w:right="480"/>
        <w:rPr>
          <w:rFonts w:hint="eastAsia" w:ascii="宋体" w:hAnsi="宋体" w:eastAsia="宋体" w:cs="宋体"/>
          <w:b/>
          <w:color w:val="000000" w:themeColor="text1"/>
          <w:szCs w:val="24"/>
          <w14:textFill>
            <w14:solidFill>
              <w14:schemeClr w14:val="tx1"/>
            </w14:solidFill>
          </w14:textFill>
        </w:rPr>
      </w:pPr>
    </w:p>
    <w:p w14:paraId="47B93E62">
      <w:pPr>
        <w:spacing w:line="360" w:lineRule="auto"/>
        <w:ind w:right="48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附被授权人最近三个月社保缴纳证明</w:t>
      </w:r>
    </w:p>
    <w:p w14:paraId="7B3785B9">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0A35B507">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pgNumType w:fmt="decimal"/>
          <w:cols w:space="425" w:num="1"/>
          <w:titlePg/>
          <w:docGrid w:linePitch="536" w:charSpace="7143"/>
        </w:sectPr>
      </w:pPr>
    </w:p>
    <w:p w14:paraId="409EF5C3">
      <w:pPr>
        <w:spacing w:before="240" w:beforeLines="100" w:after="240" w:afterLines="10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附录5-1-3投标承诺书</w:t>
      </w:r>
    </w:p>
    <w:p w14:paraId="1CC32256">
      <w:pPr>
        <w:spacing w:before="240" w:beforeLines="100" w:after="240" w:afterLines="100"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投标承诺书</w:t>
      </w:r>
    </w:p>
    <w:p w14:paraId="5CC29CCB">
      <w:pPr>
        <w:spacing w:line="400" w:lineRule="exact"/>
        <w:jc w:val="center"/>
        <w:rPr>
          <w:rFonts w:ascii="宋体" w:hAnsi="宋体" w:eastAsia="宋体" w:cs="宋体"/>
          <w:b/>
          <w:color w:val="000000" w:themeColor="text1"/>
          <w:szCs w:val="24"/>
          <w14:textFill>
            <w14:solidFill>
              <w14:schemeClr w14:val="tx1"/>
            </w14:solidFill>
          </w14:textFill>
        </w:rPr>
      </w:pPr>
    </w:p>
    <w:p w14:paraId="3F34343F">
      <w:pPr>
        <w:spacing w:line="360" w:lineRule="auto"/>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w:t>
      </w:r>
      <w:r>
        <w:rPr>
          <w:rFonts w:hint="eastAsia" w:ascii="宋体" w:hAnsi="宋体" w:eastAsia="宋体" w:cs="宋体"/>
          <w:color w:val="000000" w:themeColor="text1"/>
          <w:szCs w:val="24"/>
          <w:lang w:val="en-US" w:eastAsia="zh-CN"/>
          <w14:textFill>
            <w14:solidFill>
              <w14:schemeClr w14:val="tx1"/>
            </w14:solidFill>
          </w14:textFill>
        </w:rPr>
        <w:t>朗坤环保能源（茂名）有限公司</w:t>
      </w:r>
    </w:p>
    <w:p w14:paraId="0CB1FD96">
      <w:pPr>
        <w:spacing w:line="360" w:lineRule="auto"/>
        <w:rPr>
          <w:rFonts w:ascii="宋体" w:hAnsi="宋体" w:eastAsia="宋体" w:cs="宋体"/>
          <w:color w:val="000000" w:themeColor="text1"/>
          <w:szCs w:val="24"/>
          <w14:textFill>
            <w14:solidFill>
              <w14:schemeClr w14:val="tx1"/>
            </w14:solidFill>
          </w14:textFill>
        </w:rPr>
      </w:pPr>
    </w:p>
    <w:p w14:paraId="2057A1CA">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我方（投标人名称：                 ）愿响应你方的</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（项目名称）</w:t>
      </w:r>
      <w:r>
        <w:rPr>
          <w:rFonts w:hint="eastAsia" w:ascii="宋体" w:hAnsi="宋体" w:eastAsia="宋体" w:cs="宋体"/>
          <w:szCs w:val="24"/>
          <w:u w:val="single"/>
        </w:rPr>
        <w:t>的2025年-2026年金坑飞灰填埋场运营管理及飞灰转运、填埋服务</w:t>
      </w:r>
      <w:r>
        <w:rPr>
          <w:rFonts w:hint="eastAsia" w:ascii="宋体" w:hAnsi="宋体" w:eastAsia="宋体" w:cs="宋体"/>
          <w:color w:val="000000" w:themeColor="text1"/>
          <w:szCs w:val="24"/>
          <w14:textFill>
            <w14:solidFill>
              <w14:schemeClr w14:val="tx1"/>
            </w14:solidFill>
          </w14:textFill>
        </w:rPr>
        <w:t>投标邀请，参与投标，我方承诺并保证：</w:t>
      </w:r>
    </w:p>
    <w:p w14:paraId="762DFC26">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我方在参加本次投标前3年内，在经营活动及参与投标活动中没有重大违法活动及涉嫌违规行为，并没有因而被有关部门警告或处分的记录，且没有下列情况：</w:t>
      </w:r>
    </w:p>
    <w:p w14:paraId="624AC71E">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a)因项目质量、安全事故受到行政处罚，期限未满的；</w:t>
      </w:r>
    </w:p>
    <w:p w14:paraId="1D7EEDE8">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b)因项目中标后弃标而受到行政处罚，期限未满的；</w:t>
      </w:r>
    </w:p>
    <w:p w14:paraId="534F8AF6">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c)与其他投标人相互串通投标报价，排挤其他投标人的公平竞争，损害投标人或其他投标人的合法权益的事宜；</w:t>
      </w:r>
    </w:p>
    <w:p w14:paraId="2A04C79C">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d)最近三年内有骗取中标和严重违约情况的；</w:t>
      </w:r>
    </w:p>
    <w:p w14:paraId="4823B329">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e)处于被责令停业，投标资格被取消，财产被接管、冻结，破产状态的。</w:t>
      </w:r>
    </w:p>
    <w:p w14:paraId="10DDA948">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pPr>
    </w:p>
    <w:p w14:paraId="32656AD2">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法定代表人（或被授权人）签字:</w:t>
      </w:r>
    </w:p>
    <w:p w14:paraId="4E35F1F7">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5AF67954">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  月  日</w:t>
      </w:r>
    </w:p>
    <w:p w14:paraId="4C943EA3">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58F7DE62">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7270396A">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2DE932D6">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2FFCFE47">
      <w:pPr>
        <w:snapToGrid w:val="0"/>
        <w:spacing w:line="580" w:lineRule="exact"/>
        <w:ind w:firstLine="361" w:firstLineChars="1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附录5-1-4开标一览表格式</w:t>
      </w:r>
      <w:bookmarkEnd w:id="393"/>
      <w:bookmarkEnd w:id="394"/>
      <w:bookmarkEnd w:id="395"/>
    </w:p>
    <w:p w14:paraId="04767D24">
      <w:pPr>
        <w:pStyle w:val="94"/>
        <w:spacing w:line="360" w:lineRule="auto"/>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开标一览表</w:t>
      </w:r>
    </w:p>
    <w:p w14:paraId="17AE98D1">
      <w:pPr>
        <w:spacing w:line="360" w:lineRule="auto"/>
        <w:ind w:firstLine="4400"/>
        <w:rPr>
          <w:rFonts w:ascii="宋体" w:hAnsi="宋体" w:eastAsia="宋体" w:cs="宋体"/>
          <w:b/>
          <w:color w:val="000000" w:themeColor="text1"/>
          <w:szCs w:val="24"/>
          <w14:textFill>
            <w14:solidFill>
              <w14:schemeClr w14:val="tx1"/>
            </w14:solidFill>
          </w14:textFill>
        </w:rPr>
      </w:pPr>
    </w:p>
    <w:p w14:paraId="2325078F">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招标编号：ITB-LK-GZFD-YY-fw-2025-057</w:t>
      </w:r>
    </w:p>
    <w:p w14:paraId="67CEBB66">
      <w:pPr>
        <w:spacing w:line="360" w:lineRule="auto"/>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投标人名称：                                   日期：</w:t>
      </w:r>
    </w:p>
    <w:p w14:paraId="124D6250">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r>
        <w:rPr>
          <w:rFonts w:hint="eastAsia" w:ascii="宋体" w:hAnsi="宋体" w:eastAsia="宋体" w:cs="宋体"/>
          <w:color w:val="000000" w:themeColor="text1"/>
          <w:szCs w:val="24"/>
          <w:lang w:val="en-US" w:eastAsia="zh-CN"/>
          <w14:textFill>
            <w14:solidFill>
              <w14:schemeClr w14:val="tx1"/>
            </w14:solidFill>
          </w14:textFill>
        </w:rPr>
        <w:t>高州</w:t>
      </w:r>
      <w:r>
        <w:rPr>
          <w:rFonts w:hint="eastAsia" w:ascii="宋体" w:hAnsi="宋体" w:eastAsia="宋体" w:cs="宋体"/>
          <w:color w:val="000000" w:themeColor="text1"/>
          <w:szCs w:val="24"/>
          <w14:textFill>
            <w14:solidFill>
              <w14:schemeClr w14:val="tx1"/>
            </w14:solidFill>
          </w14:textFill>
        </w:rPr>
        <w:t>项目</w:t>
      </w:r>
    </w:p>
    <w:p w14:paraId="31C54746">
      <w:pPr>
        <w:tabs>
          <w:tab w:val="left" w:pos="420"/>
          <w:tab w:val="left" w:pos="7710"/>
        </w:tabs>
        <w:adjustRightInd w:val="0"/>
        <w:snapToGrid w:val="0"/>
        <w:spacing w:line="360" w:lineRule="auto"/>
        <w:ind w:right="-288" w:rightChars="-120"/>
        <w:rPr>
          <w:rFonts w:hint="eastAsia" w:ascii="宋体" w:hAnsi="宋体" w:cs="仿宋"/>
          <w:b/>
          <w:szCs w:val="21"/>
        </w:rPr>
      </w:pPr>
      <w:r>
        <w:rPr>
          <w:rFonts w:hint="eastAsia" w:ascii="宋体" w:hAnsi="宋体" w:cs="仿宋"/>
          <w:b/>
          <w:szCs w:val="21"/>
        </w:rPr>
        <w:t>主要车辆及人员要求</w:t>
      </w:r>
    </w:p>
    <w:tbl>
      <w:tblPr>
        <w:tblStyle w:val="48"/>
        <w:tblW w:w="4998" w:type="pct"/>
        <w:tblInd w:w="0" w:type="dxa"/>
        <w:tblLayout w:type="autofit"/>
        <w:tblCellMar>
          <w:top w:w="0" w:type="dxa"/>
          <w:left w:w="108" w:type="dxa"/>
          <w:bottom w:w="0" w:type="dxa"/>
          <w:right w:w="108" w:type="dxa"/>
        </w:tblCellMar>
      </w:tblPr>
      <w:tblGrid>
        <w:gridCol w:w="898"/>
        <w:gridCol w:w="1507"/>
        <w:gridCol w:w="2755"/>
        <w:gridCol w:w="1169"/>
        <w:gridCol w:w="2025"/>
        <w:gridCol w:w="929"/>
      </w:tblGrid>
      <w:tr w14:paraId="26746BC7">
        <w:tblPrEx>
          <w:tblCellMar>
            <w:top w:w="0" w:type="dxa"/>
            <w:left w:w="108" w:type="dxa"/>
            <w:bottom w:w="0" w:type="dxa"/>
            <w:right w:w="108" w:type="dxa"/>
          </w:tblCellMar>
        </w:tblPrEx>
        <w:trPr>
          <w:trHeight w:val="1258" w:hRule="atLeast"/>
        </w:trPr>
        <w:tc>
          <w:tcPr>
            <w:tcW w:w="484" w:type="pct"/>
            <w:vMerge w:val="restart"/>
            <w:tcBorders>
              <w:top w:val="single" w:color="000000" w:sz="8" w:space="0"/>
              <w:left w:val="single" w:color="000000" w:sz="8" w:space="0"/>
              <w:bottom w:val="single" w:color="000000" w:sz="8" w:space="0"/>
              <w:right w:val="single" w:color="000000" w:sz="8" w:space="0"/>
            </w:tcBorders>
            <w:noWrap/>
            <w:vAlign w:val="center"/>
          </w:tcPr>
          <w:p w14:paraId="784C23FD">
            <w:pPr>
              <w:jc w:val="center"/>
              <w:textAlignment w:val="center"/>
              <w:rPr>
                <w:rFonts w:hint="eastAsia" w:ascii="宋体" w:hAnsi="宋体" w:cs="宋体"/>
                <w:b/>
                <w:bCs/>
                <w:sz w:val="20"/>
              </w:rPr>
            </w:pPr>
            <w:r>
              <w:rPr>
                <w:rFonts w:hint="eastAsia" w:ascii="宋体" w:hAnsi="宋体" w:cs="宋体"/>
                <w:b/>
                <w:bCs/>
                <w:sz w:val="20"/>
                <w:lang w:bidi="ar"/>
              </w:rPr>
              <w:t>序号</w:t>
            </w:r>
          </w:p>
        </w:tc>
        <w:tc>
          <w:tcPr>
            <w:tcW w:w="811" w:type="pct"/>
            <w:vMerge w:val="restart"/>
            <w:tcBorders>
              <w:top w:val="single" w:color="000000" w:sz="8" w:space="0"/>
              <w:left w:val="single" w:color="000000" w:sz="8" w:space="0"/>
              <w:bottom w:val="single" w:color="000000" w:sz="8" w:space="0"/>
              <w:right w:val="single" w:color="000000" w:sz="8" w:space="0"/>
            </w:tcBorders>
            <w:vAlign w:val="center"/>
          </w:tcPr>
          <w:p w14:paraId="1C0D9FC4">
            <w:pPr>
              <w:jc w:val="center"/>
              <w:textAlignment w:val="center"/>
              <w:rPr>
                <w:rFonts w:hint="eastAsia" w:ascii="宋体" w:hAnsi="宋体" w:cs="宋体"/>
                <w:b/>
                <w:bCs/>
                <w:sz w:val="20"/>
              </w:rPr>
            </w:pPr>
            <w:r>
              <w:rPr>
                <w:rFonts w:hint="eastAsia" w:ascii="宋体" w:hAnsi="宋体" w:cs="宋体"/>
                <w:b/>
                <w:bCs/>
                <w:sz w:val="20"/>
                <w:lang w:bidi="ar"/>
              </w:rPr>
              <w:t>名称</w:t>
            </w:r>
          </w:p>
        </w:tc>
        <w:tc>
          <w:tcPr>
            <w:tcW w:w="1483" w:type="pct"/>
            <w:vMerge w:val="restart"/>
            <w:tcBorders>
              <w:top w:val="single" w:color="000000" w:sz="8" w:space="0"/>
              <w:left w:val="single" w:color="000000" w:sz="8" w:space="0"/>
              <w:bottom w:val="single" w:color="000000" w:sz="8" w:space="0"/>
              <w:right w:val="single" w:color="000000" w:sz="8" w:space="0"/>
            </w:tcBorders>
            <w:vAlign w:val="center"/>
          </w:tcPr>
          <w:p w14:paraId="51B6E99C">
            <w:pPr>
              <w:ind w:firstLine="602" w:firstLineChars="300"/>
              <w:jc w:val="both"/>
              <w:textAlignment w:val="center"/>
              <w:rPr>
                <w:rFonts w:hint="eastAsia" w:ascii="宋体" w:hAnsi="宋体" w:cs="宋体"/>
                <w:b/>
                <w:bCs/>
                <w:sz w:val="20"/>
              </w:rPr>
            </w:pPr>
            <w:r>
              <w:rPr>
                <w:rFonts w:hint="eastAsia" w:ascii="宋体" w:hAnsi="宋体" w:cs="宋体"/>
                <w:b/>
                <w:bCs/>
                <w:sz w:val="20"/>
                <w:lang w:bidi="ar"/>
              </w:rPr>
              <w:t>相关要求</w:t>
            </w:r>
          </w:p>
        </w:tc>
        <w:tc>
          <w:tcPr>
            <w:tcW w:w="629" w:type="pct"/>
            <w:vMerge w:val="restart"/>
            <w:tcBorders>
              <w:top w:val="single" w:color="000000" w:sz="8" w:space="0"/>
              <w:left w:val="single" w:color="000000" w:sz="8" w:space="0"/>
              <w:bottom w:val="single" w:color="000000" w:sz="8" w:space="0"/>
              <w:right w:val="single" w:color="000000" w:sz="8" w:space="0"/>
            </w:tcBorders>
            <w:vAlign w:val="center"/>
          </w:tcPr>
          <w:p w14:paraId="712CE37B">
            <w:pPr>
              <w:jc w:val="center"/>
              <w:textAlignment w:val="center"/>
              <w:rPr>
                <w:rFonts w:hint="eastAsia" w:ascii="宋体" w:hAnsi="宋体" w:cs="宋体"/>
                <w:b/>
                <w:bCs/>
                <w:sz w:val="20"/>
              </w:rPr>
            </w:pPr>
            <w:r>
              <w:rPr>
                <w:rFonts w:hint="eastAsia" w:ascii="宋体" w:hAnsi="宋体" w:cs="宋体"/>
                <w:b/>
                <w:bCs/>
                <w:sz w:val="20"/>
                <w:lang w:bidi="ar"/>
              </w:rPr>
              <w:t>单位</w:t>
            </w:r>
          </w:p>
        </w:tc>
        <w:tc>
          <w:tcPr>
            <w:tcW w:w="1090" w:type="pct"/>
            <w:vMerge w:val="restart"/>
            <w:tcBorders>
              <w:top w:val="single" w:color="000000" w:sz="8" w:space="0"/>
              <w:left w:val="single" w:color="000000" w:sz="8" w:space="0"/>
              <w:bottom w:val="single" w:color="000000" w:sz="8" w:space="0"/>
              <w:right w:val="single" w:color="000000" w:sz="8" w:space="0"/>
            </w:tcBorders>
            <w:vAlign w:val="center"/>
          </w:tcPr>
          <w:p w14:paraId="621FCF68">
            <w:pPr>
              <w:jc w:val="center"/>
              <w:textAlignment w:val="center"/>
              <w:rPr>
                <w:rFonts w:hint="eastAsia" w:ascii="宋体" w:hAnsi="宋体" w:cs="宋体"/>
                <w:b/>
                <w:bCs/>
                <w:sz w:val="20"/>
              </w:rPr>
            </w:pPr>
            <w:r>
              <w:rPr>
                <w:rFonts w:hint="eastAsia" w:ascii="宋体" w:hAnsi="宋体" w:cs="宋体"/>
                <w:b/>
                <w:bCs/>
                <w:sz w:val="20"/>
                <w:lang w:bidi="ar"/>
              </w:rPr>
              <w:t>人员机械配置</w:t>
            </w:r>
          </w:p>
        </w:tc>
        <w:tc>
          <w:tcPr>
            <w:tcW w:w="500" w:type="pct"/>
            <w:vMerge w:val="restart"/>
            <w:tcBorders>
              <w:top w:val="single" w:color="000000" w:sz="8" w:space="0"/>
              <w:left w:val="single" w:color="000000" w:sz="8" w:space="0"/>
              <w:bottom w:val="single" w:color="000000" w:sz="8" w:space="0"/>
              <w:right w:val="single" w:color="000000" w:sz="8" w:space="0"/>
            </w:tcBorders>
            <w:vAlign w:val="center"/>
          </w:tcPr>
          <w:p w14:paraId="7964AE02">
            <w:pPr>
              <w:jc w:val="center"/>
              <w:textAlignment w:val="center"/>
              <w:rPr>
                <w:rFonts w:hint="eastAsia" w:ascii="宋体" w:hAnsi="宋体" w:cs="宋体"/>
                <w:b/>
                <w:bCs/>
                <w:sz w:val="20"/>
              </w:rPr>
            </w:pPr>
            <w:r>
              <w:rPr>
                <w:rFonts w:hint="eastAsia" w:ascii="宋体" w:hAnsi="宋体" w:cs="宋体"/>
                <w:b/>
                <w:bCs/>
                <w:sz w:val="20"/>
                <w:lang w:bidi="ar"/>
              </w:rPr>
              <w:t>备注</w:t>
            </w:r>
          </w:p>
        </w:tc>
      </w:tr>
      <w:tr w14:paraId="672423FF">
        <w:tblPrEx>
          <w:tblCellMar>
            <w:top w:w="0" w:type="dxa"/>
            <w:left w:w="108" w:type="dxa"/>
            <w:bottom w:w="0" w:type="dxa"/>
            <w:right w:w="108" w:type="dxa"/>
          </w:tblCellMar>
        </w:tblPrEx>
        <w:trPr>
          <w:trHeight w:val="312" w:hRule="atLeast"/>
        </w:trPr>
        <w:tc>
          <w:tcPr>
            <w:tcW w:w="484" w:type="pct"/>
            <w:vMerge w:val="continue"/>
            <w:tcBorders>
              <w:top w:val="single" w:color="000000" w:sz="8" w:space="0"/>
              <w:left w:val="single" w:color="000000" w:sz="8" w:space="0"/>
              <w:bottom w:val="single" w:color="000000" w:sz="8" w:space="0"/>
              <w:right w:val="single" w:color="000000" w:sz="8" w:space="0"/>
            </w:tcBorders>
            <w:noWrap/>
            <w:vAlign w:val="center"/>
          </w:tcPr>
          <w:p w14:paraId="5B577E3E">
            <w:pPr>
              <w:jc w:val="center"/>
              <w:rPr>
                <w:rFonts w:hint="eastAsia" w:ascii="宋体" w:hAnsi="宋体" w:cs="宋体"/>
                <w:b/>
                <w:bCs/>
                <w:sz w:val="20"/>
              </w:rPr>
            </w:pPr>
          </w:p>
        </w:tc>
        <w:tc>
          <w:tcPr>
            <w:tcW w:w="811" w:type="pct"/>
            <w:vMerge w:val="continue"/>
            <w:tcBorders>
              <w:top w:val="single" w:color="000000" w:sz="8" w:space="0"/>
              <w:left w:val="single" w:color="000000" w:sz="8" w:space="0"/>
              <w:bottom w:val="single" w:color="000000" w:sz="8" w:space="0"/>
              <w:right w:val="single" w:color="000000" w:sz="8" w:space="0"/>
            </w:tcBorders>
            <w:vAlign w:val="center"/>
          </w:tcPr>
          <w:p w14:paraId="4692FF44">
            <w:pPr>
              <w:jc w:val="center"/>
              <w:rPr>
                <w:rFonts w:hint="eastAsia" w:ascii="宋体" w:hAnsi="宋体" w:cs="宋体"/>
                <w:b/>
                <w:bCs/>
                <w:sz w:val="20"/>
              </w:rPr>
            </w:pPr>
          </w:p>
        </w:tc>
        <w:tc>
          <w:tcPr>
            <w:tcW w:w="1483" w:type="pct"/>
            <w:vMerge w:val="continue"/>
            <w:tcBorders>
              <w:top w:val="single" w:color="000000" w:sz="8" w:space="0"/>
              <w:left w:val="single" w:color="000000" w:sz="8" w:space="0"/>
              <w:bottom w:val="single" w:color="000000" w:sz="8" w:space="0"/>
              <w:right w:val="single" w:color="000000" w:sz="8" w:space="0"/>
            </w:tcBorders>
            <w:vAlign w:val="center"/>
          </w:tcPr>
          <w:p w14:paraId="1057BF61">
            <w:pPr>
              <w:jc w:val="center"/>
              <w:rPr>
                <w:rFonts w:hint="eastAsia" w:ascii="宋体" w:hAnsi="宋体" w:cs="宋体"/>
                <w:b/>
                <w:bCs/>
                <w:sz w:val="20"/>
              </w:rPr>
            </w:pPr>
          </w:p>
        </w:tc>
        <w:tc>
          <w:tcPr>
            <w:tcW w:w="629" w:type="pct"/>
            <w:vMerge w:val="continue"/>
            <w:tcBorders>
              <w:top w:val="single" w:color="000000" w:sz="8" w:space="0"/>
              <w:left w:val="single" w:color="000000" w:sz="8" w:space="0"/>
              <w:bottom w:val="single" w:color="000000" w:sz="8" w:space="0"/>
              <w:right w:val="single" w:color="000000" w:sz="8" w:space="0"/>
            </w:tcBorders>
            <w:vAlign w:val="center"/>
          </w:tcPr>
          <w:p w14:paraId="1155A064">
            <w:pPr>
              <w:jc w:val="center"/>
              <w:rPr>
                <w:rFonts w:hint="eastAsia" w:ascii="宋体" w:hAnsi="宋体" w:cs="宋体"/>
                <w:b/>
                <w:bCs/>
                <w:sz w:val="20"/>
              </w:rPr>
            </w:pPr>
          </w:p>
        </w:tc>
        <w:tc>
          <w:tcPr>
            <w:tcW w:w="1090" w:type="pct"/>
            <w:vMerge w:val="continue"/>
            <w:tcBorders>
              <w:top w:val="single" w:color="000000" w:sz="8" w:space="0"/>
              <w:left w:val="single" w:color="000000" w:sz="8" w:space="0"/>
              <w:bottom w:val="single" w:color="000000" w:sz="8" w:space="0"/>
              <w:right w:val="single" w:color="000000" w:sz="8" w:space="0"/>
            </w:tcBorders>
            <w:vAlign w:val="center"/>
          </w:tcPr>
          <w:p w14:paraId="1CF6DFFE">
            <w:pPr>
              <w:jc w:val="center"/>
              <w:rPr>
                <w:rFonts w:hint="eastAsia" w:ascii="宋体" w:hAnsi="宋体" w:cs="宋体"/>
                <w:b/>
                <w:bCs/>
                <w:sz w:val="20"/>
              </w:rPr>
            </w:pPr>
          </w:p>
        </w:tc>
        <w:tc>
          <w:tcPr>
            <w:tcW w:w="500" w:type="pct"/>
            <w:vMerge w:val="continue"/>
            <w:tcBorders>
              <w:top w:val="single" w:color="000000" w:sz="8" w:space="0"/>
              <w:left w:val="single" w:color="000000" w:sz="8" w:space="0"/>
              <w:bottom w:val="single" w:color="000000" w:sz="8" w:space="0"/>
              <w:right w:val="single" w:color="000000" w:sz="8" w:space="0"/>
            </w:tcBorders>
            <w:vAlign w:val="center"/>
          </w:tcPr>
          <w:p w14:paraId="45FBC793">
            <w:pPr>
              <w:jc w:val="center"/>
              <w:rPr>
                <w:rFonts w:hint="eastAsia" w:ascii="宋体" w:hAnsi="宋体" w:cs="宋体"/>
                <w:b/>
                <w:bCs/>
                <w:sz w:val="20"/>
              </w:rPr>
            </w:pPr>
          </w:p>
        </w:tc>
      </w:tr>
      <w:tr w14:paraId="58D84642">
        <w:tblPrEx>
          <w:tblCellMar>
            <w:top w:w="0" w:type="dxa"/>
            <w:left w:w="108" w:type="dxa"/>
            <w:bottom w:w="0" w:type="dxa"/>
            <w:right w:w="108" w:type="dxa"/>
          </w:tblCellMar>
        </w:tblPrEx>
        <w:trPr>
          <w:trHeight w:val="90" w:hRule="atLeast"/>
        </w:trPr>
        <w:tc>
          <w:tcPr>
            <w:tcW w:w="484" w:type="pct"/>
            <w:tcBorders>
              <w:top w:val="single" w:color="000000" w:sz="8" w:space="0"/>
              <w:left w:val="single" w:color="000000" w:sz="8" w:space="0"/>
              <w:bottom w:val="single" w:color="000000" w:sz="8" w:space="0"/>
              <w:right w:val="single" w:color="000000" w:sz="8" w:space="0"/>
            </w:tcBorders>
            <w:noWrap/>
            <w:vAlign w:val="center"/>
          </w:tcPr>
          <w:p w14:paraId="0A64BFCB">
            <w:pPr>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811" w:type="pct"/>
            <w:tcBorders>
              <w:top w:val="single" w:color="000000" w:sz="8" w:space="0"/>
              <w:left w:val="single" w:color="000000" w:sz="8" w:space="0"/>
              <w:bottom w:val="single" w:color="000000" w:sz="8" w:space="0"/>
              <w:right w:val="single" w:color="000000" w:sz="8" w:space="0"/>
            </w:tcBorders>
            <w:vAlign w:val="center"/>
          </w:tcPr>
          <w:p w14:paraId="064BB2DF">
            <w:pPr>
              <w:jc w:val="center"/>
              <w:textAlignment w:val="center"/>
              <w:rPr>
                <w:rFonts w:hint="eastAsia" w:ascii="宋体" w:hAnsi="宋体" w:cs="宋体"/>
                <w:sz w:val="24"/>
                <w:szCs w:val="24"/>
              </w:rPr>
            </w:pPr>
            <w:r>
              <w:rPr>
                <w:rFonts w:hint="eastAsia" w:ascii="宋体" w:hAnsi="宋体" w:cs="宋体"/>
                <w:sz w:val="24"/>
                <w:szCs w:val="24"/>
                <w:lang w:bidi="ar"/>
              </w:rPr>
              <w:t>牵引</w:t>
            </w:r>
            <w:r>
              <w:rPr>
                <w:rFonts w:ascii="宋体" w:hAnsi="宋体" w:cs="宋体"/>
                <w:sz w:val="24"/>
                <w:szCs w:val="24"/>
                <w:lang w:bidi="ar"/>
              </w:rPr>
              <w:t>运输</w:t>
            </w:r>
            <w:r>
              <w:rPr>
                <w:rFonts w:hint="eastAsia" w:ascii="宋体" w:hAnsi="宋体" w:cs="宋体"/>
                <w:sz w:val="24"/>
                <w:szCs w:val="24"/>
                <w:lang w:bidi="ar"/>
              </w:rPr>
              <w:t>车</w:t>
            </w:r>
          </w:p>
        </w:tc>
        <w:tc>
          <w:tcPr>
            <w:tcW w:w="1483" w:type="pct"/>
            <w:tcBorders>
              <w:top w:val="single" w:color="000000" w:sz="8" w:space="0"/>
              <w:left w:val="single" w:color="000000" w:sz="8" w:space="0"/>
              <w:bottom w:val="single" w:color="000000" w:sz="8" w:space="0"/>
              <w:right w:val="single" w:color="000000" w:sz="8" w:space="0"/>
            </w:tcBorders>
            <w:vAlign w:val="center"/>
          </w:tcPr>
          <w:p w14:paraId="415E28D7">
            <w:pPr>
              <w:numPr>
                <w:ilvl w:val="0"/>
                <w:numId w:val="4"/>
              </w:numPr>
              <w:textAlignment w:val="center"/>
              <w:rPr>
                <w:rFonts w:hint="eastAsia" w:ascii="宋体" w:hAnsi="宋体" w:cs="宋体"/>
                <w:sz w:val="24"/>
                <w:szCs w:val="24"/>
                <w:lang w:bidi="ar"/>
              </w:rPr>
            </w:pPr>
            <w:r>
              <w:rPr>
                <w:rFonts w:ascii="宋体" w:hAnsi="宋体" w:cs="宋体"/>
                <w:sz w:val="24"/>
                <w:szCs w:val="24"/>
                <w:lang w:bidi="ar"/>
              </w:rPr>
              <w:t>车辆具备危货运输资质；</w:t>
            </w:r>
          </w:p>
          <w:p w14:paraId="07A9A644">
            <w:pPr>
              <w:numPr>
                <w:ilvl w:val="0"/>
                <w:numId w:val="4"/>
              </w:numPr>
              <w:textAlignment w:val="center"/>
              <w:rPr>
                <w:rFonts w:hint="eastAsia" w:ascii="宋体" w:hAnsi="宋体" w:cs="宋体"/>
                <w:sz w:val="24"/>
                <w:szCs w:val="24"/>
                <w:lang w:bidi="ar"/>
              </w:rPr>
            </w:pPr>
            <w:r>
              <w:rPr>
                <w:rFonts w:ascii="宋体" w:hAnsi="宋体" w:cs="宋体"/>
                <w:sz w:val="24"/>
                <w:szCs w:val="24"/>
                <w:lang w:bidi="ar"/>
              </w:rPr>
              <w:t>必须具备公司危货运输资质；</w:t>
            </w:r>
          </w:p>
          <w:p w14:paraId="02C6BA93">
            <w:pPr>
              <w:numPr>
                <w:ilvl w:val="0"/>
                <w:numId w:val="4"/>
              </w:numPr>
              <w:textAlignment w:val="center"/>
              <w:rPr>
                <w:rFonts w:hint="eastAsia" w:ascii="宋体" w:hAnsi="宋体" w:cs="宋体"/>
                <w:sz w:val="24"/>
                <w:szCs w:val="24"/>
                <w:lang w:bidi="ar"/>
              </w:rPr>
            </w:pPr>
            <w:r>
              <w:rPr>
                <w:rFonts w:ascii="宋体" w:hAnsi="宋体" w:cs="宋体"/>
                <w:sz w:val="24"/>
                <w:szCs w:val="24"/>
                <w:lang w:bidi="ar"/>
              </w:rPr>
              <w:t>驾驶员、押运员</w:t>
            </w:r>
          </w:p>
          <w:p w14:paraId="2B03009C">
            <w:pPr>
              <w:textAlignment w:val="center"/>
              <w:rPr>
                <w:rFonts w:hint="eastAsia" w:ascii="宋体" w:hAnsi="宋体" w:cs="宋体"/>
                <w:sz w:val="24"/>
                <w:szCs w:val="24"/>
                <w:lang w:bidi="ar"/>
              </w:rPr>
            </w:pPr>
            <w:r>
              <w:rPr>
                <w:rFonts w:hint="eastAsia" w:ascii="宋体" w:hAnsi="宋体" w:cs="宋体"/>
                <w:sz w:val="24"/>
                <w:szCs w:val="24"/>
                <w:lang w:bidi="ar"/>
              </w:rPr>
              <w:t>持证上岗</w:t>
            </w:r>
            <w:r>
              <w:rPr>
                <w:rFonts w:ascii="宋体" w:hAnsi="宋体" w:cs="宋体"/>
                <w:sz w:val="24"/>
                <w:szCs w:val="24"/>
                <w:lang w:bidi="ar"/>
              </w:rPr>
              <w:t>；</w:t>
            </w:r>
          </w:p>
          <w:p w14:paraId="633BD89A">
            <w:pPr>
              <w:numPr>
                <w:ilvl w:val="0"/>
                <w:numId w:val="4"/>
              </w:numPr>
              <w:textAlignment w:val="center"/>
              <w:rPr>
                <w:rFonts w:hint="eastAsia" w:ascii="宋体" w:hAnsi="宋体" w:cs="宋体"/>
                <w:sz w:val="24"/>
                <w:szCs w:val="24"/>
                <w:lang w:bidi="ar"/>
              </w:rPr>
            </w:pPr>
            <w:r>
              <w:rPr>
                <w:rFonts w:hint="eastAsia" w:ascii="宋体" w:hAnsi="宋体" w:cs="宋体"/>
                <w:sz w:val="24"/>
                <w:szCs w:val="24"/>
                <w:lang w:bidi="ar"/>
              </w:rPr>
              <w:t>平板车</w:t>
            </w:r>
            <w:r>
              <w:rPr>
                <w:rFonts w:ascii="宋体" w:hAnsi="宋体" w:cs="宋体"/>
                <w:sz w:val="24"/>
                <w:szCs w:val="24"/>
                <w:lang w:bidi="ar"/>
              </w:rPr>
              <w:t>或低栏车；</w:t>
            </w:r>
          </w:p>
          <w:p w14:paraId="658230D9">
            <w:pPr>
              <w:numPr>
                <w:ilvl w:val="0"/>
                <w:numId w:val="4"/>
              </w:numPr>
              <w:textAlignment w:val="center"/>
              <w:rPr>
                <w:rFonts w:hint="eastAsia" w:ascii="宋体" w:hAnsi="宋体" w:cs="宋体"/>
                <w:sz w:val="24"/>
                <w:szCs w:val="24"/>
              </w:rPr>
            </w:pPr>
            <w:r>
              <w:rPr>
                <w:rFonts w:ascii="宋体" w:hAnsi="宋体" w:cs="宋体"/>
                <w:sz w:val="24"/>
                <w:szCs w:val="24"/>
                <w:lang w:bidi="ar"/>
              </w:rPr>
              <w:t>防雨防尘布；</w:t>
            </w:r>
          </w:p>
          <w:p w14:paraId="4B22EFC5">
            <w:pPr>
              <w:numPr>
                <w:ilvl w:val="0"/>
                <w:numId w:val="4"/>
              </w:numPr>
              <w:textAlignment w:val="center"/>
              <w:rPr>
                <w:rFonts w:hint="eastAsia" w:ascii="宋体" w:hAnsi="宋体" w:cs="宋体"/>
                <w:sz w:val="24"/>
                <w:szCs w:val="24"/>
              </w:rPr>
            </w:pPr>
            <w:r>
              <w:rPr>
                <w:rFonts w:ascii="宋体" w:hAnsi="宋体" w:cs="宋体"/>
                <w:sz w:val="24"/>
                <w:szCs w:val="24"/>
              </w:rPr>
              <w:t>牵引车，总质量不高于49吨；</w:t>
            </w:r>
          </w:p>
        </w:tc>
        <w:tc>
          <w:tcPr>
            <w:tcW w:w="629" w:type="pct"/>
            <w:tcBorders>
              <w:top w:val="single" w:color="000000" w:sz="8" w:space="0"/>
              <w:left w:val="single" w:color="000000" w:sz="8" w:space="0"/>
              <w:bottom w:val="single" w:color="000000" w:sz="8" w:space="0"/>
              <w:right w:val="single" w:color="000000" w:sz="8" w:space="0"/>
            </w:tcBorders>
            <w:vAlign w:val="center"/>
          </w:tcPr>
          <w:p w14:paraId="72ECB6A4">
            <w:pPr>
              <w:jc w:val="center"/>
              <w:textAlignment w:val="center"/>
              <w:rPr>
                <w:rFonts w:hint="eastAsia" w:ascii="宋体" w:hAnsi="宋体" w:cs="宋体"/>
                <w:sz w:val="24"/>
                <w:szCs w:val="24"/>
              </w:rPr>
            </w:pPr>
            <w:r>
              <w:rPr>
                <w:rFonts w:hint="eastAsia" w:ascii="宋体" w:hAnsi="宋体" w:cs="宋体"/>
                <w:sz w:val="24"/>
                <w:szCs w:val="24"/>
                <w:lang w:bidi="ar"/>
              </w:rPr>
              <w:t>辆</w:t>
            </w:r>
          </w:p>
        </w:tc>
        <w:tc>
          <w:tcPr>
            <w:tcW w:w="1090" w:type="pct"/>
            <w:vMerge w:val="restart"/>
            <w:tcBorders>
              <w:top w:val="single" w:color="000000" w:sz="8" w:space="0"/>
              <w:left w:val="single" w:color="000000" w:sz="8" w:space="0"/>
              <w:right w:val="single" w:color="000000" w:sz="8" w:space="0"/>
            </w:tcBorders>
            <w:vAlign w:val="center"/>
          </w:tcPr>
          <w:p w14:paraId="7E0256F0">
            <w:pPr>
              <w:jc w:val="center"/>
              <w:textAlignment w:val="center"/>
              <w:rPr>
                <w:rFonts w:hint="eastAsia" w:ascii="宋体" w:hAnsi="宋体" w:cs="宋体"/>
                <w:sz w:val="24"/>
                <w:szCs w:val="24"/>
              </w:rPr>
            </w:pPr>
            <w:r>
              <w:rPr>
                <w:rFonts w:hint="eastAsia" w:ascii="宋体" w:hAnsi="宋体" w:cs="宋体"/>
                <w:sz w:val="24"/>
                <w:szCs w:val="24"/>
                <w:lang w:bidi="ar"/>
              </w:rPr>
              <w:t>乙方每天飞灰转运量必须转</w:t>
            </w:r>
            <w:r>
              <w:rPr>
                <w:rFonts w:ascii="宋体" w:hAnsi="宋体" w:cs="宋体"/>
                <w:sz w:val="24"/>
                <w:szCs w:val="24"/>
                <w:lang w:bidi="ar"/>
              </w:rPr>
              <w:t>按</w:t>
            </w:r>
            <w:r>
              <w:rPr>
                <w:rFonts w:ascii="宋体" w:hAnsi="宋体" w:cs="宋体"/>
                <w:sz w:val="24"/>
                <w:szCs w:val="24"/>
              </w:rPr>
              <w:t>350-500</w:t>
            </w:r>
            <w:r>
              <w:rPr>
                <w:rFonts w:hint="eastAsia" w:ascii="宋体" w:hAnsi="宋体" w:cs="宋体"/>
                <w:sz w:val="24"/>
                <w:szCs w:val="24"/>
              </w:rPr>
              <w:t>吨/天</w:t>
            </w:r>
            <w:r>
              <w:rPr>
                <w:rFonts w:hint="eastAsia" w:ascii="宋体" w:hAnsi="宋体" w:cs="宋体"/>
                <w:sz w:val="24"/>
                <w:szCs w:val="24"/>
                <w:lang w:bidi="ar"/>
              </w:rPr>
              <w:t>配置人工、机械。</w:t>
            </w:r>
          </w:p>
        </w:tc>
        <w:tc>
          <w:tcPr>
            <w:tcW w:w="500" w:type="pct"/>
            <w:tcBorders>
              <w:top w:val="single" w:color="000000" w:sz="8" w:space="0"/>
              <w:left w:val="single" w:color="000000" w:sz="8" w:space="0"/>
              <w:bottom w:val="single" w:color="000000" w:sz="8" w:space="0"/>
              <w:right w:val="single" w:color="000000" w:sz="8" w:space="0"/>
            </w:tcBorders>
            <w:vAlign w:val="center"/>
          </w:tcPr>
          <w:p w14:paraId="07CFCF30">
            <w:pPr>
              <w:jc w:val="center"/>
              <w:textAlignment w:val="center"/>
              <w:rPr>
                <w:rFonts w:hint="eastAsia" w:ascii="宋体" w:hAnsi="宋体" w:cs="宋体"/>
                <w:sz w:val="24"/>
                <w:szCs w:val="24"/>
              </w:rPr>
            </w:pPr>
            <w:r>
              <w:rPr>
                <w:rFonts w:ascii="宋体" w:hAnsi="宋体" w:cs="宋体"/>
                <w:sz w:val="24"/>
                <w:szCs w:val="24"/>
              </w:rPr>
              <w:t>4台</w:t>
            </w:r>
          </w:p>
        </w:tc>
      </w:tr>
      <w:tr w14:paraId="33154F3C">
        <w:tblPrEx>
          <w:tblCellMar>
            <w:top w:w="0" w:type="dxa"/>
            <w:left w:w="108" w:type="dxa"/>
            <w:bottom w:w="0" w:type="dxa"/>
            <w:right w:w="108" w:type="dxa"/>
          </w:tblCellMar>
        </w:tblPrEx>
        <w:trPr>
          <w:trHeight w:val="742" w:hRule="atLeast"/>
        </w:trPr>
        <w:tc>
          <w:tcPr>
            <w:tcW w:w="484" w:type="pct"/>
            <w:tcBorders>
              <w:top w:val="single" w:color="000000" w:sz="8" w:space="0"/>
              <w:left w:val="single" w:color="000000" w:sz="8" w:space="0"/>
              <w:bottom w:val="single" w:color="000000" w:sz="8" w:space="0"/>
              <w:right w:val="single" w:color="000000" w:sz="8" w:space="0"/>
            </w:tcBorders>
            <w:noWrap/>
            <w:vAlign w:val="center"/>
          </w:tcPr>
          <w:p w14:paraId="0B2F48AD">
            <w:pPr>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811" w:type="pct"/>
            <w:tcBorders>
              <w:top w:val="single" w:color="000000" w:sz="8" w:space="0"/>
              <w:left w:val="single" w:color="000000" w:sz="8" w:space="0"/>
              <w:bottom w:val="single" w:color="000000" w:sz="8" w:space="0"/>
              <w:right w:val="single" w:color="000000" w:sz="8" w:space="0"/>
            </w:tcBorders>
            <w:vAlign w:val="center"/>
          </w:tcPr>
          <w:p w14:paraId="238DD7A6">
            <w:pPr>
              <w:jc w:val="center"/>
              <w:textAlignment w:val="center"/>
              <w:rPr>
                <w:rFonts w:hint="eastAsia" w:ascii="宋体" w:hAnsi="宋体" w:cs="宋体"/>
                <w:sz w:val="24"/>
                <w:szCs w:val="24"/>
              </w:rPr>
            </w:pPr>
            <w:r>
              <w:rPr>
                <w:rFonts w:hint="eastAsia" w:ascii="宋体" w:hAnsi="宋体" w:cs="宋体"/>
                <w:sz w:val="24"/>
                <w:szCs w:val="24"/>
                <w:lang w:bidi="ar"/>
              </w:rPr>
              <w:t>叉车</w:t>
            </w:r>
          </w:p>
        </w:tc>
        <w:tc>
          <w:tcPr>
            <w:tcW w:w="1483" w:type="pct"/>
            <w:tcBorders>
              <w:top w:val="single" w:color="000000" w:sz="8" w:space="0"/>
              <w:left w:val="single" w:color="000000" w:sz="8" w:space="0"/>
              <w:bottom w:val="single" w:color="000000" w:sz="8" w:space="0"/>
              <w:right w:val="single" w:color="000000" w:sz="8" w:space="0"/>
            </w:tcBorders>
            <w:vAlign w:val="center"/>
          </w:tcPr>
          <w:p w14:paraId="43BD7C0C">
            <w:pPr>
              <w:textAlignment w:val="center"/>
              <w:rPr>
                <w:rFonts w:hint="eastAsia" w:ascii="宋体" w:hAnsi="宋体" w:cs="宋体"/>
                <w:sz w:val="24"/>
                <w:szCs w:val="24"/>
              </w:rPr>
            </w:pPr>
            <w:r>
              <w:rPr>
                <w:rFonts w:hint="eastAsia" w:ascii="宋体" w:hAnsi="宋体" w:cs="宋体"/>
                <w:sz w:val="24"/>
                <w:szCs w:val="24"/>
                <w:lang w:bidi="ar"/>
              </w:rPr>
              <w:t>驾驶人持证上岗，车辆保险符合要求，</w:t>
            </w:r>
            <w:r>
              <w:rPr>
                <w:rFonts w:hint="eastAsia" w:ascii="宋体" w:hAnsi="宋体" w:cs="宋体"/>
                <w:sz w:val="24"/>
                <w:szCs w:val="24"/>
              </w:rPr>
              <w:t>载重量3.5吨及以上叉车，起升高度不低于4.5米</w:t>
            </w:r>
          </w:p>
        </w:tc>
        <w:tc>
          <w:tcPr>
            <w:tcW w:w="629" w:type="pct"/>
            <w:tcBorders>
              <w:top w:val="single" w:color="000000" w:sz="8" w:space="0"/>
              <w:left w:val="single" w:color="000000" w:sz="8" w:space="0"/>
              <w:bottom w:val="single" w:color="000000" w:sz="8" w:space="0"/>
              <w:right w:val="single" w:color="000000" w:sz="8" w:space="0"/>
            </w:tcBorders>
            <w:vAlign w:val="center"/>
          </w:tcPr>
          <w:p w14:paraId="6D590169">
            <w:pPr>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1090" w:type="pct"/>
            <w:vMerge w:val="continue"/>
            <w:tcBorders>
              <w:left w:val="single" w:color="000000" w:sz="8" w:space="0"/>
              <w:right w:val="single" w:color="000000" w:sz="8" w:space="0"/>
            </w:tcBorders>
            <w:vAlign w:val="center"/>
          </w:tcPr>
          <w:p w14:paraId="649B1218">
            <w:pPr>
              <w:jc w:val="center"/>
              <w:textAlignment w:val="center"/>
              <w:rPr>
                <w:rFonts w:hint="eastAsia" w:ascii="宋体" w:hAnsi="宋体" w:cs="宋体"/>
                <w:sz w:val="24"/>
                <w:szCs w:val="24"/>
              </w:rPr>
            </w:pPr>
          </w:p>
        </w:tc>
        <w:tc>
          <w:tcPr>
            <w:tcW w:w="500" w:type="pct"/>
            <w:tcBorders>
              <w:top w:val="single" w:color="000000" w:sz="8" w:space="0"/>
              <w:left w:val="single" w:color="000000" w:sz="8" w:space="0"/>
              <w:bottom w:val="single" w:color="000000" w:sz="8" w:space="0"/>
              <w:right w:val="single" w:color="000000" w:sz="8" w:space="0"/>
            </w:tcBorders>
            <w:vAlign w:val="center"/>
          </w:tcPr>
          <w:p w14:paraId="4E8417A9">
            <w:pPr>
              <w:jc w:val="center"/>
              <w:textAlignment w:val="center"/>
              <w:rPr>
                <w:rFonts w:hint="eastAsia" w:ascii="宋体" w:hAnsi="宋体" w:cs="宋体"/>
                <w:sz w:val="24"/>
                <w:szCs w:val="24"/>
              </w:rPr>
            </w:pPr>
            <w:r>
              <w:rPr>
                <w:rFonts w:hint="eastAsia" w:ascii="宋体" w:hAnsi="宋体" w:cs="宋体"/>
                <w:sz w:val="24"/>
                <w:szCs w:val="24"/>
              </w:rPr>
              <w:t>叉车</w:t>
            </w:r>
            <w:r>
              <w:rPr>
                <w:rFonts w:ascii="宋体" w:hAnsi="宋体" w:cs="宋体"/>
                <w:sz w:val="24"/>
                <w:szCs w:val="24"/>
              </w:rPr>
              <w:t>3</w:t>
            </w:r>
            <w:r>
              <w:rPr>
                <w:rFonts w:hint="eastAsia" w:ascii="宋体" w:hAnsi="宋体" w:cs="宋体"/>
                <w:sz w:val="24"/>
                <w:szCs w:val="24"/>
              </w:rPr>
              <w:t>台</w:t>
            </w:r>
          </w:p>
        </w:tc>
      </w:tr>
      <w:tr w14:paraId="5E1495FB">
        <w:tblPrEx>
          <w:tblCellMar>
            <w:top w:w="0" w:type="dxa"/>
            <w:left w:w="108" w:type="dxa"/>
            <w:bottom w:w="0" w:type="dxa"/>
            <w:right w:w="108" w:type="dxa"/>
          </w:tblCellMar>
        </w:tblPrEx>
        <w:trPr>
          <w:trHeight w:val="966" w:hRule="atLeast"/>
        </w:trPr>
        <w:tc>
          <w:tcPr>
            <w:tcW w:w="484" w:type="pct"/>
            <w:tcBorders>
              <w:top w:val="single" w:color="000000" w:sz="8" w:space="0"/>
              <w:left w:val="single" w:color="000000" w:sz="8" w:space="0"/>
              <w:bottom w:val="single" w:color="000000" w:sz="8" w:space="0"/>
              <w:right w:val="single" w:color="000000" w:sz="8" w:space="0"/>
            </w:tcBorders>
            <w:noWrap/>
            <w:vAlign w:val="center"/>
          </w:tcPr>
          <w:p w14:paraId="660D55DC">
            <w:pPr>
              <w:jc w:val="center"/>
              <w:textAlignment w:val="center"/>
              <w:rPr>
                <w:rFonts w:hint="eastAsia" w:ascii="宋体" w:hAnsi="宋体" w:cs="宋体"/>
                <w:sz w:val="24"/>
                <w:szCs w:val="24"/>
                <w:lang w:bidi="ar"/>
              </w:rPr>
            </w:pPr>
            <w:r>
              <w:rPr>
                <w:rFonts w:ascii="宋体" w:hAnsi="宋体" w:cs="宋体"/>
                <w:sz w:val="24"/>
                <w:szCs w:val="24"/>
                <w:lang w:bidi="ar"/>
              </w:rPr>
              <w:t>3</w:t>
            </w:r>
          </w:p>
        </w:tc>
        <w:tc>
          <w:tcPr>
            <w:tcW w:w="811" w:type="pct"/>
            <w:tcBorders>
              <w:top w:val="single" w:color="000000" w:sz="8" w:space="0"/>
              <w:left w:val="single" w:color="000000" w:sz="8" w:space="0"/>
              <w:bottom w:val="single" w:color="000000" w:sz="8" w:space="0"/>
              <w:right w:val="single" w:color="000000" w:sz="8" w:space="0"/>
            </w:tcBorders>
            <w:vAlign w:val="center"/>
          </w:tcPr>
          <w:p w14:paraId="21EFF91A">
            <w:pPr>
              <w:jc w:val="center"/>
              <w:textAlignment w:val="center"/>
              <w:rPr>
                <w:rFonts w:hint="eastAsia" w:ascii="宋体" w:hAnsi="宋体" w:cs="宋体"/>
                <w:sz w:val="24"/>
                <w:szCs w:val="24"/>
                <w:lang w:bidi="ar"/>
              </w:rPr>
            </w:pPr>
            <w:r>
              <w:rPr>
                <w:rFonts w:ascii="宋体" w:hAnsi="宋体" w:cs="宋体"/>
                <w:sz w:val="24"/>
                <w:szCs w:val="24"/>
                <w:lang w:bidi="ar"/>
              </w:rPr>
              <w:t>6方车</w:t>
            </w:r>
          </w:p>
        </w:tc>
        <w:tc>
          <w:tcPr>
            <w:tcW w:w="1483" w:type="pct"/>
            <w:tcBorders>
              <w:top w:val="single" w:color="000000" w:sz="8" w:space="0"/>
              <w:left w:val="single" w:color="000000" w:sz="8" w:space="0"/>
              <w:bottom w:val="single" w:color="000000" w:sz="8" w:space="0"/>
              <w:right w:val="single" w:color="000000" w:sz="8" w:space="0"/>
            </w:tcBorders>
            <w:vAlign w:val="center"/>
          </w:tcPr>
          <w:p w14:paraId="2081ACDA">
            <w:pPr>
              <w:textAlignment w:val="center"/>
              <w:rPr>
                <w:rFonts w:hint="eastAsia" w:ascii="宋体" w:hAnsi="宋体" w:cs="宋体"/>
                <w:sz w:val="24"/>
                <w:szCs w:val="24"/>
                <w:lang w:bidi="ar"/>
              </w:rPr>
            </w:pPr>
            <w:r>
              <w:rPr>
                <w:rFonts w:ascii="宋体" w:hAnsi="宋体" w:cs="宋体"/>
                <w:sz w:val="24"/>
                <w:szCs w:val="24"/>
                <w:lang w:bidi="ar"/>
              </w:rPr>
              <w:t>蓝色6轮后驱动车</w:t>
            </w:r>
            <w:r>
              <w:rPr>
                <w:rFonts w:hint="eastAsia" w:ascii="宋体" w:hAnsi="宋体" w:cs="宋体"/>
                <w:sz w:val="24"/>
                <w:szCs w:val="24"/>
                <w:lang w:bidi="ar"/>
              </w:rPr>
              <w:t>（填埋场门口须大车转小车运输到指定卸车为止）</w:t>
            </w:r>
          </w:p>
        </w:tc>
        <w:tc>
          <w:tcPr>
            <w:tcW w:w="629" w:type="pct"/>
            <w:tcBorders>
              <w:top w:val="single" w:color="000000" w:sz="8" w:space="0"/>
              <w:left w:val="single" w:color="000000" w:sz="8" w:space="0"/>
              <w:bottom w:val="single" w:color="000000" w:sz="8" w:space="0"/>
              <w:right w:val="single" w:color="000000" w:sz="8" w:space="0"/>
            </w:tcBorders>
            <w:vAlign w:val="center"/>
          </w:tcPr>
          <w:p w14:paraId="333E1381">
            <w:pPr>
              <w:jc w:val="center"/>
              <w:textAlignment w:val="center"/>
              <w:rPr>
                <w:rFonts w:hint="eastAsia" w:ascii="宋体" w:hAnsi="宋体" w:cs="宋体"/>
                <w:sz w:val="24"/>
                <w:szCs w:val="24"/>
                <w:lang w:bidi="ar"/>
              </w:rPr>
            </w:pPr>
            <w:r>
              <w:rPr>
                <w:rFonts w:ascii="宋体" w:hAnsi="宋体" w:cs="宋体"/>
                <w:sz w:val="24"/>
                <w:szCs w:val="24"/>
                <w:lang w:bidi="ar"/>
              </w:rPr>
              <w:t>台</w:t>
            </w:r>
          </w:p>
        </w:tc>
        <w:tc>
          <w:tcPr>
            <w:tcW w:w="1090" w:type="pct"/>
            <w:vMerge w:val="continue"/>
            <w:tcBorders>
              <w:left w:val="single" w:color="000000" w:sz="8" w:space="0"/>
              <w:bottom w:val="single" w:color="000000" w:sz="8" w:space="0"/>
              <w:right w:val="single" w:color="000000" w:sz="8" w:space="0"/>
            </w:tcBorders>
            <w:vAlign w:val="center"/>
          </w:tcPr>
          <w:p w14:paraId="1BAB8532">
            <w:pPr>
              <w:jc w:val="center"/>
              <w:textAlignment w:val="center"/>
              <w:rPr>
                <w:rFonts w:hint="eastAsia" w:ascii="宋体" w:hAnsi="宋体" w:cs="宋体"/>
                <w:sz w:val="24"/>
                <w:szCs w:val="24"/>
              </w:rPr>
            </w:pPr>
          </w:p>
        </w:tc>
        <w:tc>
          <w:tcPr>
            <w:tcW w:w="500" w:type="pct"/>
            <w:tcBorders>
              <w:top w:val="single" w:color="000000" w:sz="8" w:space="0"/>
              <w:left w:val="single" w:color="000000" w:sz="8" w:space="0"/>
              <w:bottom w:val="single" w:color="000000" w:sz="8" w:space="0"/>
              <w:right w:val="single" w:color="000000" w:sz="8" w:space="0"/>
            </w:tcBorders>
            <w:vAlign w:val="center"/>
          </w:tcPr>
          <w:p w14:paraId="401D63CC">
            <w:pPr>
              <w:jc w:val="center"/>
              <w:textAlignment w:val="center"/>
              <w:rPr>
                <w:rFonts w:hint="eastAsia" w:ascii="宋体" w:hAnsi="宋体" w:cs="宋体"/>
                <w:sz w:val="24"/>
                <w:szCs w:val="24"/>
              </w:rPr>
            </w:pPr>
            <w:r>
              <w:rPr>
                <w:rFonts w:ascii="宋体" w:hAnsi="宋体" w:cs="宋体"/>
                <w:sz w:val="24"/>
                <w:szCs w:val="24"/>
              </w:rPr>
              <w:t>2台</w:t>
            </w:r>
          </w:p>
        </w:tc>
      </w:tr>
      <w:tr w14:paraId="6246ACFD">
        <w:tblPrEx>
          <w:tblCellMar>
            <w:top w:w="0" w:type="dxa"/>
            <w:left w:w="108" w:type="dxa"/>
            <w:bottom w:w="0" w:type="dxa"/>
            <w:right w:w="108" w:type="dxa"/>
          </w:tblCellMar>
        </w:tblPrEx>
        <w:trPr>
          <w:trHeight w:val="966" w:hRule="atLeast"/>
        </w:trPr>
        <w:tc>
          <w:tcPr>
            <w:tcW w:w="484" w:type="pct"/>
            <w:tcBorders>
              <w:top w:val="single" w:color="000000" w:sz="8" w:space="0"/>
              <w:left w:val="single" w:color="000000" w:sz="8" w:space="0"/>
              <w:bottom w:val="single" w:color="000000" w:sz="8" w:space="0"/>
              <w:right w:val="single" w:color="000000" w:sz="8" w:space="0"/>
            </w:tcBorders>
            <w:noWrap/>
            <w:vAlign w:val="center"/>
          </w:tcPr>
          <w:p w14:paraId="266B33CE">
            <w:pPr>
              <w:jc w:val="center"/>
              <w:textAlignment w:val="center"/>
              <w:rPr>
                <w:rFonts w:hint="eastAsia" w:ascii="宋体" w:hAnsi="宋体" w:cs="宋体"/>
                <w:sz w:val="24"/>
                <w:szCs w:val="24"/>
              </w:rPr>
            </w:pPr>
            <w:r>
              <w:rPr>
                <w:rFonts w:hint="eastAsia" w:ascii="宋体" w:hAnsi="宋体" w:cs="宋体"/>
                <w:sz w:val="24"/>
                <w:szCs w:val="24"/>
                <w:lang w:bidi="ar"/>
              </w:rPr>
              <w:t>4</w:t>
            </w:r>
          </w:p>
        </w:tc>
        <w:tc>
          <w:tcPr>
            <w:tcW w:w="811" w:type="pct"/>
            <w:tcBorders>
              <w:top w:val="single" w:color="000000" w:sz="8" w:space="0"/>
              <w:left w:val="single" w:color="000000" w:sz="8" w:space="0"/>
              <w:bottom w:val="single" w:color="000000" w:sz="8" w:space="0"/>
              <w:right w:val="single" w:color="000000" w:sz="8" w:space="0"/>
            </w:tcBorders>
            <w:vAlign w:val="center"/>
          </w:tcPr>
          <w:p w14:paraId="197CB5AF">
            <w:pPr>
              <w:jc w:val="center"/>
              <w:textAlignment w:val="center"/>
              <w:rPr>
                <w:rFonts w:hint="eastAsia" w:ascii="宋体" w:hAnsi="宋体" w:cs="宋体"/>
                <w:sz w:val="24"/>
                <w:szCs w:val="24"/>
              </w:rPr>
            </w:pPr>
            <w:r>
              <w:rPr>
                <w:rFonts w:hint="eastAsia" w:ascii="宋体" w:hAnsi="宋体" w:cs="宋体"/>
                <w:sz w:val="24"/>
                <w:szCs w:val="24"/>
                <w:lang w:bidi="ar"/>
              </w:rPr>
              <w:t>操作人员</w:t>
            </w:r>
          </w:p>
        </w:tc>
        <w:tc>
          <w:tcPr>
            <w:tcW w:w="1483" w:type="pct"/>
            <w:tcBorders>
              <w:top w:val="single" w:color="000000" w:sz="8" w:space="0"/>
              <w:left w:val="single" w:color="000000" w:sz="8" w:space="0"/>
              <w:bottom w:val="single" w:color="000000" w:sz="8" w:space="0"/>
              <w:right w:val="single" w:color="000000" w:sz="8" w:space="0"/>
            </w:tcBorders>
            <w:vAlign w:val="center"/>
          </w:tcPr>
          <w:p w14:paraId="6FDA452C">
            <w:pPr>
              <w:jc w:val="center"/>
              <w:textAlignment w:val="center"/>
              <w:rPr>
                <w:rFonts w:hint="eastAsia" w:ascii="宋体" w:hAnsi="宋体" w:cs="宋体"/>
                <w:sz w:val="24"/>
                <w:szCs w:val="24"/>
              </w:rPr>
            </w:pPr>
            <w:r>
              <w:rPr>
                <w:rFonts w:hint="eastAsia" w:ascii="宋体" w:hAnsi="宋体" w:cs="宋体"/>
                <w:sz w:val="24"/>
                <w:szCs w:val="24"/>
                <w:lang w:bidi="ar"/>
              </w:rPr>
              <w:t>叉车挂袋，无职业禁忌症，能进行高处作业，年龄不超55岁，身体健康，无职业病禁忌症</w:t>
            </w:r>
          </w:p>
        </w:tc>
        <w:tc>
          <w:tcPr>
            <w:tcW w:w="629" w:type="pct"/>
            <w:tcBorders>
              <w:top w:val="single" w:color="000000" w:sz="8" w:space="0"/>
              <w:left w:val="single" w:color="000000" w:sz="8" w:space="0"/>
              <w:bottom w:val="single" w:color="000000" w:sz="8" w:space="0"/>
              <w:right w:val="single" w:color="000000" w:sz="8" w:space="0"/>
            </w:tcBorders>
            <w:vAlign w:val="center"/>
          </w:tcPr>
          <w:p w14:paraId="791CB07C">
            <w:pPr>
              <w:jc w:val="center"/>
              <w:textAlignment w:val="center"/>
              <w:rPr>
                <w:rFonts w:hint="eastAsia" w:ascii="宋体" w:hAnsi="宋体" w:cs="宋体"/>
                <w:sz w:val="24"/>
                <w:szCs w:val="24"/>
              </w:rPr>
            </w:pPr>
            <w:r>
              <w:rPr>
                <w:rFonts w:hint="eastAsia" w:ascii="宋体" w:hAnsi="宋体" w:cs="宋体"/>
                <w:sz w:val="24"/>
                <w:szCs w:val="24"/>
                <w:lang w:bidi="ar"/>
              </w:rPr>
              <w:t>人</w:t>
            </w:r>
          </w:p>
        </w:tc>
        <w:tc>
          <w:tcPr>
            <w:tcW w:w="1090" w:type="pct"/>
            <w:vMerge w:val="continue"/>
            <w:tcBorders>
              <w:left w:val="single" w:color="000000" w:sz="8" w:space="0"/>
              <w:bottom w:val="single" w:color="000000" w:sz="8" w:space="0"/>
              <w:right w:val="single" w:color="000000" w:sz="8" w:space="0"/>
            </w:tcBorders>
            <w:vAlign w:val="center"/>
          </w:tcPr>
          <w:p w14:paraId="392E72BA">
            <w:pPr>
              <w:jc w:val="center"/>
              <w:textAlignment w:val="center"/>
              <w:rPr>
                <w:rFonts w:hint="eastAsia" w:ascii="宋体" w:hAnsi="宋体" w:cs="宋体"/>
                <w:sz w:val="24"/>
                <w:szCs w:val="24"/>
              </w:rPr>
            </w:pPr>
          </w:p>
        </w:tc>
        <w:tc>
          <w:tcPr>
            <w:tcW w:w="500" w:type="pct"/>
            <w:tcBorders>
              <w:top w:val="single" w:color="000000" w:sz="8" w:space="0"/>
              <w:left w:val="single" w:color="000000" w:sz="8" w:space="0"/>
              <w:bottom w:val="single" w:color="000000" w:sz="8" w:space="0"/>
              <w:right w:val="single" w:color="000000" w:sz="8" w:space="0"/>
            </w:tcBorders>
            <w:vAlign w:val="center"/>
          </w:tcPr>
          <w:p w14:paraId="73E4C34E">
            <w:pPr>
              <w:jc w:val="center"/>
              <w:textAlignment w:val="center"/>
              <w:rPr>
                <w:rFonts w:hint="eastAsia" w:ascii="宋体" w:hAnsi="宋体" w:cs="宋体"/>
                <w:sz w:val="24"/>
                <w:szCs w:val="24"/>
              </w:rPr>
            </w:pPr>
            <w:r>
              <w:rPr>
                <w:rFonts w:ascii="宋体" w:hAnsi="宋体" w:cs="宋体"/>
                <w:sz w:val="24"/>
                <w:szCs w:val="24"/>
              </w:rPr>
              <w:t>3人</w:t>
            </w:r>
          </w:p>
        </w:tc>
      </w:tr>
      <w:tr w14:paraId="3C0BD6D8">
        <w:tblPrEx>
          <w:tblCellMar>
            <w:top w:w="0" w:type="dxa"/>
            <w:left w:w="108" w:type="dxa"/>
            <w:bottom w:w="0" w:type="dxa"/>
            <w:right w:w="108" w:type="dxa"/>
          </w:tblCellMar>
        </w:tblPrEx>
        <w:trPr>
          <w:trHeight w:val="1543" w:hRule="atLeast"/>
        </w:trPr>
        <w:tc>
          <w:tcPr>
            <w:tcW w:w="484" w:type="pct"/>
            <w:tcBorders>
              <w:top w:val="single" w:color="000000" w:sz="8" w:space="0"/>
              <w:left w:val="single" w:color="000000" w:sz="8" w:space="0"/>
              <w:bottom w:val="single" w:color="000000" w:sz="8" w:space="0"/>
              <w:right w:val="single" w:color="000000" w:sz="8" w:space="0"/>
            </w:tcBorders>
            <w:noWrap/>
            <w:vAlign w:val="center"/>
          </w:tcPr>
          <w:p w14:paraId="53FE7D7A">
            <w:pPr>
              <w:jc w:val="center"/>
              <w:textAlignment w:val="center"/>
              <w:rPr>
                <w:rFonts w:hint="eastAsia" w:ascii="宋体" w:hAnsi="宋体" w:cs="宋体"/>
                <w:sz w:val="24"/>
                <w:szCs w:val="24"/>
                <w:lang w:bidi="ar"/>
              </w:rPr>
            </w:pPr>
            <w:r>
              <w:rPr>
                <w:rFonts w:hint="eastAsia" w:ascii="宋体" w:hAnsi="宋体" w:cs="宋体"/>
                <w:sz w:val="24"/>
                <w:szCs w:val="24"/>
                <w:lang w:bidi="ar"/>
              </w:rPr>
              <w:t>5</w:t>
            </w:r>
          </w:p>
        </w:tc>
        <w:tc>
          <w:tcPr>
            <w:tcW w:w="811" w:type="pct"/>
            <w:tcBorders>
              <w:top w:val="single" w:color="000000" w:sz="8" w:space="0"/>
              <w:left w:val="single" w:color="000000" w:sz="8" w:space="0"/>
              <w:bottom w:val="single" w:color="000000" w:sz="8" w:space="0"/>
              <w:right w:val="single" w:color="000000" w:sz="8" w:space="0"/>
            </w:tcBorders>
            <w:vAlign w:val="center"/>
          </w:tcPr>
          <w:p w14:paraId="6EB67891">
            <w:pPr>
              <w:jc w:val="center"/>
              <w:textAlignment w:val="center"/>
              <w:rPr>
                <w:rFonts w:hint="eastAsia" w:ascii="宋体" w:hAnsi="宋体" w:cs="宋体"/>
                <w:sz w:val="24"/>
                <w:szCs w:val="24"/>
                <w:lang w:bidi="ar"/>
              </w:rPr>
            </w:pPr>
            <w:r>
              <w:rPr>
                <w:rFonts w:hint="eastAsia" w:ascii="宋体" w:hAnsi="宋体" w:cs="宋体"/>
                <w:sz w:val="24"/>
                <w:szCs w:val="24"/>
                <w:lang w:bidi="ar"/>
              </w:rPr>
              <w:t>挖机</w:t>
            </w:r>
          </w:p>
        </w:tc>
        <w:tc>
          <w:tcPr>
            <w:tcW w:w="1483" w:type="pct"/>
            <w:tcBorders>
              <w:top w:val="single" w:color="000000" w:sz="8" w:space="0"/>
              <w:left w:val="single" w:color="000000" w:sz="8" w:space="0"/>
              <w:bottom w:val="single" w:color="000000" w:sz="8" w:space="0"/>
              <w:right w:val="single" w:color="000000" w:sz="8" w:space="0"/>
            </w:tcBorders>
            <w:vAlign w:val="center"/>
          </w:tcPr>
          <w:p w14:paraId="04EB3322">
            <w:pPr>
              <w:jc w:val="center"/>
              <w:textAlignment w:val="center"/>
              <w:rPr>
                <w:rFonts w:hint="eastAsia" w:ascii="宋体" w:hAnsi="宋体" w:cs="宋体"/>
                <w:sz w:val="24"/>
                <w:szCs w:val="24"/>
                <w:lang w:bidi="ar"/>
              </w:rPr>
            </w:pPr>
            <w:r>
              <w:rPr>
                <w:rFonts w:hint="eastAsia" w:ascii="宋体" w:hAnsi="宋体" w:cs="宋体"/>
                <w:sz w:val="24"/>
                <w:szCs w:val="24"/>
                <w:lang w:bidi="ar"/>
              </w:rPr>
              <w:t>PC200；用于卸车和填埋飞灰；</w:t>
            </w:r>
          </w:p>
        </w:tc>
        <w:tc>
          <w:tcPr>
            <w:tcW w:w="629" w:type="pct"/>
            <w:tcBorders>
              <w:top w:val="single" w:color="000000" w:sz="8" w:space="0"/>
              <w:left w:val="single" w:color="000000" w:sz="8" w:space="0"/>
              <w:bottom w:val="single" w:color="000000" w:sz="8" w:space="0"/>
              <w:right w:val="single" w:color="000000" w:sz="8" w:space="0"/>
            </w:tcBorders>
            <w:vAlign w:val="center"/>
          </w:tcPr>
          <w:p w14:paraId="173AF38E">
            <w:pPr>
              <w:jc w:val="center"/>
              <w:textAlignment w:val="center"/>
              <w:rPr>
                <w:rFonts w:hint="eastAsia" w:ascii="宋体" w:hAnsi="宋体" w:cs="宋体"/>
                <w:sz w:val="24"/>
                <w:szCs w:val="24"/>
                <w:lang w:bidi="ar"/>
              </w:rPr>
            </w:pPr>
            <w:r>
              <w:rPr>
                <w:rFonts w:hint="eastAsia" w:ascii="宋体" w:hAnsi="宋体" w:cs="宋体"/>
                <w:sz w:val="24"/>
                <w:szCs w:val="24"/>
                <w:lang w:bidi="ar"/>
              </w:rPr>
              <w:t>台</w:t>
            </w:r>
          </w:p>
        </w:tc>
        <w:tc>
          <w:tcPr>
            <w:tcW w:w="1090" w:type="pct"/>
            <w:tcBorders>
              <w:top w:val="single" w:color="000000" w:sz="8" w:space="0"/>
              <w:left w:val="single" w:color="000000" w:sz="8" w:space="0"/>
              <w:bottom w:val="single" w:color="000000" w:sz="8" w:space="0"/>
              <w:right w:val="single" w:color="000000" w:sz="8" w:space="0"/>
            </w:tcBorders>
            <w:vAlign w:val="center"/>
          </w:tcPr>
          <w:p w14:paraId="6D0D426C">
            <w:pPr>
              <w:jc w:val="center"/>
              <w:textAlignment w:val="center"/>
              <w:rPr>
                <w:rFonts w:hint="eastAsia" w:ascii="宋体" w:hAnsi="宋体" w:cs="宋体"/>
                <w:sz w:val="24"/>
                <w:szCs w:val="24"/>
                <w:lang w:bidi="ar"/>
              </w:rPr>
            </w:pPr>
          </w:p>
        </w:tc>
        <w:tc>
          <w:tcPr>
            <w:tcW w:w="500" w:type="pct"/>
            <w:tcBorders>
              <w:top w:val="single" w:color="000000" w:sz="8" w:space="0"/>
              <w:left w:val="single" w:color="000000" w:sz="8" w:space="0"/>
              <w:bottom w:val="single" w:color="000000" w:sz="8" w:space="0"/>
              <w:right w:val="single" w:color="000000" w:sz="8" w:space="0"/>
            </w:tcBorders>
            <w:vAlign w:val="center"/>
          </w:tcPr>
          <w:p w14:paraId="72CECBC6">
            <w:pPr>
              <w:jc w:val="center"/>
              <w:textAlignment w:val="center"/>
              <w:rPr>
                <w:rFonts w:hint="eastAsia" w:ascii="宋体" w:hAnsi="宋体" w:cs="宋体"/>
                <w:sz w:val="24"/>
                <w:szCs w:val="24"/>
                <w:lang w:bidi="ar"/>
              </w:rPr>
            </w:pPr>
            <w:r>
              <w:rPr>
                <w:rFonts w:hint="eastAsia" w:ascii="宋体" w:hAnsi="宋体" w:cs="宋体"/>
                <w:sz w:val="24"/>
                <w:szCs w:val="24"/>
                <w:lang w:bidi="ar"/>
              </w:rPr>
              <w:t>1人</w:t>
            </w:r>
          </w:p>
        </w:tc>
      </w:tr>
      <w:tr w14:paraId="7433AD08">
        <w:tblPrEx>
          <w:tblCellMar>
            <w:top w:w="0" w:type="dxa"/>
            <w:left w:w="108" w:type="dxa"/>
            <w:bottom w:w="0" w:type="dxa"/>
            <w:right w:w="108" w:type="dxa"/>
          </w:tblCellMar>
        </w:tblPrEx>
        <w:trPr>
          <w:trHeight w:val="1543" w:hRule="atLeast"/>
        </w:trPr>
        <w:tc>
          <w:tcPr>
            <w:tcW w:w="484" w:type="pct"/>
            <w:tcBorders>
              <w:top w:val="single" w:color="000000" w:sz="8" w:space="0"/>
              <w:left w:val="single" w:color="000000" w:sz="8" w:space="0"/>
              <w:bottom w:val="single" w:color="000000" w:sz="8" w:space="0"/>
              <w:right w:val="single" w:color="000000" w:sz="8" w:space="0"/>
            </w:tcBorders>
            <w:noWrap/>
            <w:vAlign w:val="center"/>
          </w:tcPr>
          <w:p w14:paraId="1D5FD5B8">
            <w:pPr>
              <w:jc w:val="center"/>
              <w:textAlignment w:val="center"/>
              <w:rPr>
                <w:rFonts w:hint="eastAsia" w:ascii="宋体" w:hAnsi="宋体" w:cs="宋体"/>
                <w:sz w:val="24"/>
                <w:szCs w:val="24"/>
                <w:lang w:bidi="ar"/>
              </w:rPr>
            </w:pPr>
            <w:r>
              <w:rPr>
                <w:rFonts w:hint="eastAsia" w:ascii="宋体" w:hAnsi="宋体" w:cs="宋体"/>
                <w:sz w:val="24"/>
                <w:szCs w:val="24"/>
                <w:lang w:bidi="ar"/>
              </w:rPr>
              <w:t>6</w:t>
            </w:r>
          </w:p>
        </w:tc>
        <w:tc>
          <w:tcPr>
            <w:tcW w:w="811" w:type="pct"/>
            <w:tcBorders>
              <w:top w:val="single" w:color="000000" w:sz="8" w:space="0"/>
              <w:left w:val="single" w:color="000000" w:sz="8" w:space="0"/>
              <w:bottom w:val="single" w:color="000000" w:sz="8" w:space="0"/>
              <w:right w:val="single" w:color="000000" w:sz="8" w:space="0"/>
            </w:tcBorders>
            <w:vAlign w:val="center"/>
          </w:tcPr>
          <w:p w14:paraId="7049502D">
            <w:pPr>
              <w:jc w:val="center"/>
              <w:textAlignment w:val="center"/>
              <w:rPr>
                <w:rFonts w:hint="eastAsia" w:ascii="宋体" w:hAnsi="宋体" w:cs="宋体"/>
                <w:sz w:val="24"/>
                <w:szCs w:val="24"/>
                <w:lang w:bidi="ar"/>
              </w:rPr>
            </w:pPr>
            <w:r>
              <w:rPr>
                <w:rFonts w:hint="eastAsia" w:ascii="宋体" w:hAnsi="宋体" w:cs="宋体"/>
                <w:sz w:val="24"/>
                <w:szCs w:val="24"/>
                <w:lang w:bidi="ar"/>
              </w:rPr>
              <w:t>其他人员</w:t>
            </w:r>
          </w:p>
        </w:tc>
        <w:tc>
          <w:tcPr>
            <w:tcW w:w="1483" w:type="pct"/>
            <w:tcBorders>
              <w:top w:val="single" w:color="000000" w:sz="8" w:space="0"/>
              <w:left w:val="single" w:color="000000" w:sz="8" w:space="0"/>
              <w:bottom w:val="single" w:color="000000" w:sz="8" w:space="0"/>
              <w:right w:val="single" w:color="000000" w:sz="8" w:space="0"/>
            </w:tcBorders>
            <w:vAlign w:val="center"/>
          </w:tcPr>
          <w:p w14:paraId="7C96C20D">
            <w:pPr>
              <w:jc w:val="center"/>
              <w:textAlignment w:val="center"/>
              <w:rPr>
                <w:rFonts w:hint="eastAsia" w:ascii="宋体" w:hAnsi="宋体" w:cs="宋体"/>
                <w:kern w:val="2"/>
                <w:sz w:val="24"/>
                <w:szCs w:val="24"/>
              </w:rPr>
            </w:pPr>
            <w:r>
              <w:rPr>
                <w:rFonts w:hint="eastAsia" w:ascii="宋体" w:hAnsi="宋体" w:cs="宋体"/>
                <w:kern w:val="2"/>
                <w:sz w:val="24"/>
                <w:szCs w:val="24"/>
              </w:rPr>
              <w:t>熟悉“广东省固体废物环境监管平台”转运联单操作、现场管理者具备安全管理证</w:t>
            </w:r>
          </w:p>
        </w:tc>
        <w:tc>
          <w:tcPr>
            <w:tcW w:w="629" w:type="pct"/>
            <w:tcBorders>
              <w:top w:val="single" w:color="000000" w:sz="8" w:space="0"/>
              <w:left w:val="single" w:color="000000" w:sz="8" w:space="0"/>
              <w:bottom w:val="single" w:color="000000" w:sz="8" w:space="0"/>
              <w:right w:val="single" w:color="000000" w:sz="8" w:space="0"/>
            </w:tcBorders>
            <w:vAlign w:val="center"/>
          </w:tcPr>
          <w:p w14:paraId="04C84D89">
            <w:pPr>
              <w:jc w:val="center"/>
              <w:textAlignment w:val="center"/>
              <w:rPr>
                <w:rFonts w:hint="eastAsia" w:ascii="宋体" w:hAnsi="宋体" w:cs="宋体"/>
                <w:sz w:val="24"/>
                <w:szCs w:val="24"/>
                <w:lang w:bidi="ar"/>
              </w:rPr>
            </w:pPr>
            <w:r>
              <w:rPr>
                <w:rFonts w:hint="eastAsia" w:ascii="宋体" w:hAnsi="宋体" w:cs="宋体"/>
                <w:sz w:val="24"/>
                <w:szCs w:val="24"/>
                <w:lang w:bidi="ar"/>
              </w:rPr>
              <w:t>人</w:t>
            </w:r>
          </w:p>
        </w:tc>
        <w:tc>
          <w:tcPr>
            <w:tcW w:w="1090" w:type="pct"/>
            <w:tcBorders>
              <w:top w:val="single" w:color="000000" w:sz="8" w:space="0"/>
              <w:left w:val="single" w:color="000000" w:sz="8" w:space="0"/>
              <w:bottom w:val="single" w:color="000000" w:sz="8" w:space="0"/>
              <w:right w:val="single" w:color="000000" w:sz="8" w:space="0"/>
            </w:tcBorders>
            <w:vAlign w:val="center"/>
          </w:tcPr>
          <w:p w14:paraId="694A0751">
            <w:pPr>
              <w:jc w:val="center"/>
              <w:textAlignment w:val="center"/>
              <w:rPr>
                <w:rFonts w:hint="eastAsia" w:ascii="宋体" w:hAnsi="宋体" w:cs="宋体"/>
                <w:sz w:val="24"/>
                <w:szCs w:val="24"/>
                <w:lang w:bidi="ar"/>
              </w:rPr>
            </w:pPr>
          </w:p>
        </w:tc>
        <w:tc>
          <w:tcPr>
            <w:tcW w:w="500" w:type="pct"/>
            <w:tcBorders>
              <w:top w:val="single" w:color="000000" w:sz="8" w:space="0"/>
              <w:left w:val="single" w:color="000000" w:sz="8" w:space="0"/>
              <w:bottom w:val="single" w:color="000000" w:sz="8" w:space="0"/>
              <w:right w:val="single" w:color="000000" w:sz="8" w:space="0"/>
            </w:tcBorders>
            <w:vAlign w:val="center"/>
          </w:tcPr>
          <w:p w14:paraId="43BE1F97">
            <w:pPr>
              <w:jc w:val="center"/>
              <w:textAlignment w:val="center"/>
              <w:rPr>
                <w:rFonts w:ascii="宋体" w:hAnsi="宋体" w:cs="宋体"/>
                <w:sz w:val="24"/>
                <w:szCs w:val="24"/>
                <w:lang w:bidi="ar"/>
              </w:rPr>
            </w:pPr>
            <w:r>
              <w:rPr>
                <w:rFonts w:ascii="宋体" w:hAnsi="宋体" w:cs="宋体"/>
                <w:sz w:val="24"/>
                <w:szCs w:val="24"/>
                <w:lang w:bidi="ar"/>
              </w:rPr>
              <w:t>2人</w:t>
            </w:r>
          </w:p>
        </w:tc>
      </w:tr>
    </w:tbl>
    <w:p w14:paraId="693CF7CC">
      <w:pPr>
        <w:pStyle w:val="18"/>
        <w:rPr>
          <w:rFonts w:hint="eastAsia" w:ascii="宋体" w:hAnsi="宋体" w:cs="宋体"/>
          <w:b/>
          <w:bCs/>
          <w:sz w:val="24"/>
          <w:szCs w:val="24"/>
          <w:lang w:bidi="ar"/>
        </w:rPr>
      </w:pPr>
    </w:p>
    <w:p w14:paraId="716EC8E7">
      <w:pPr>
        <w:pStyle w:val="18"/>
        <w:rPr>
          <w:rFonts w:hint="eastAsia" w:ascii="宋体" w:hAnsi="宋体" w:cs="宋体"/>
          <w:b/>
          <w:bCs/>
          <w:sz w:val="24"/>
          <w:szCs w:val="24"/>
          <w:lang w:bidi="ar"/>
        </w:rPr>
      </w:pPr>
    </w:p>
    <w:p w14:paraId="0AFDD638">
      <w:pPr>
        <w:pStyle w:val="18"/>
        <w:rPr>
          <w:rFonts w:hint="eastAsia" w:ascii="宋体" w:hAnsi="宋体" w:cs="宋体"/>
          <w:b/>
          <w:bCs/>
          <w:sz w:val="24"/>
          <w:szCs w:val="24"/>
          <w:lang w:bidi="ar"/>
        </w:rPr>
      </w:pPr>
    </w:p>
    <w:p w14:paraId="7BF39B80">
      <w:pPr>
        <w:pStyle w:val="18"/>
        <w:rPr>
          <w:rFonts w:hint="eastAsia" w:ascii="宋体" w:hAnsi="宋体" w:cs="宋体"/>
          <w:b/>
          <w:bCs/>
          <w:sz w:val="24"/>
          <w:szCs w:val="24"/>
          <w:lang w:bidi="ar"/>
        </w:rPr>
      </w:pPr>
    </w:p>
    <w:p w14:paraId="41E39922">
      <w:pPr>
        <w:pStyle w:val="18"/>
        <w:rPr>
          <w:rFonts w:hint="eastAsia" w:ascii="宋体" w:hAnsi="宋体" w:cs="宋体"/>
          <w:b/>
          <w:bCs/>
          <w:sz w:val="24"/>
          <w:szCs w:val="24"/>
          <w:lang w:bidi="ar"/>
        </w:rPr>
      </w:pPr>
    </w:p>
    <w:p w14:paraId="4824DD21">
      <w:pPr>
        <w:pStyle w:val="18"/>
        <w:rPr>
          <w:rFonts w:hint="eastAsia" w:ascii="宋体" w:hAnsi="宋体" w:cs="宋体"/>
          <w:b/>
          <w:bCs/>
          <w:sz w:val="24"/>
          <w:szCs w:val="24"/>
          <w:lang w:bidi="ar"/>
        </w:rPr>
      </w:pPr>
    </w:p>
    <w:p w14:paraId="7984B616">
      <w:pPr>
        <w:pStyle w:val="18"/>
        <w:rPr>
          <w:rFonts w:hint="eastAsia" w:ascii="宋体" w:hAnsi="宋体" w:cs="宋体"/>
          <w:b/>
          <w:bCs/>
          <w:sz w:val="24"/>
          <w:szCs w:val="24"/>
          <w:lang w:bidi="ar"/>
        </w:rPr>
      </w:pPr>
    </w:p>
    <w:p w14:paraId="015A4D75">
      <w:pPr>
        <w:pStyle w:val="18"/>
        <w:rPr>
          <w:rFonts w:hint="eastAsia" w:ascii="宋体" w:hAnsi="宋体" w:cs="宋体"/>
          <w:b/>
          <w:bCs/>
          <w:sz w:val="24"/>
          <w:szCs w:val="24"/>
          <w:lang w:bidi="ar"/>
        </w:rPr>
      </w:pPr>
    </w:p>
    <w:p w14:paraId="056E9B8D">
      <w:pPr>
        <w:pStyle w:val="18"/>
        <w:rPr>
          <w:rFonts w:hint="eastAsia" w:ascii="宋体" w:hAnsi="宋体" w:cs="宋体"/>
          <w:b/>
          <w:bCs/>
          <w:sz w:val="24"/>
          <w:szCs w:val="24"/>
          <w:lang w:bidi="ar"/>
        </w:rPr>
      </w:pPr>
    </w:p>
    <w:p w14:paraId="4C7DDA68">
      <w:pPr>
        <w:pStyle w:val="18"/>
        <w:rPr>
          <w:rFonts w:hint="eastAsia" w:ascii="宋体" w:hAnsi="宋体" w:cs="宋体"/>
          <w:b/>
          <w:bCs/>
          <w:sz w:val="24"/>
          <w:szCs w:val="24"/>
          <w:lang w:bidi="ar"/>
        </w:rPr>
      </w:pPr>
    </w:p>
    <w:p w14:paraId="13B1CAB7">
      <w:pPr>
        <w:pStyle w:val="18"/>
        <w:rPr>
          <w:rFonts w:hint="eastAsia" w:ascii="宋体" w:hAnsi="宋体" w:cs="宋体"/>
          <w:b/>
          <w:bCs/>
          <w:sz w:val="24"/>
          <w:szCs w:val="24"/>
          <w:lang w:bidi="ar"/>
        </w:rPr>
      </w:pPr>
    </w:p>
    <w:p w14:paraId="5C845976">
      <w:pPr>
        <w:pStyle w:val="18"/>
        <w:rPr>
          <w:rFonts w:hint="eastAsia" w:ascii="宋体" w:hAnsi="宋体" w:cs="宋体"/>
          <w:b/>
          <w:bCs/>
          <w:sz w:val="24"/>
          <w:szCs w:val="24"/>
          <w:lang w:bidi="ar"/>
        </w:rPr>
      </w:pPr>
    </w:p>
    <w:p w14:paraId="34F48089">
      <w:pPr>
        <w:pStyle w:val="18"/>
        <w:rPr>
          <w:rFonts w:hint="eastAsia" w:ascii="宋体" w:hAnsi="宋体" w:cs="宋体"/>
          <w:b/>
          <w:bCs/>
          <w:sz w:val="24"/>
          <w:szCs w:val="24"/>
          <w:lang w:bidi="ar"/>
        </w:rPr>
      </w:pPr>
    </w:p>
    <w:p w14:paraId="2EFAC60B">
      <w:pPr>
        <w:pStyle w:val="18"/>
        <w:rPr>
          <w:rFonts w:hint="eastAsia" w:ascii="宋体" w:hAnsi="宋体" w:cs="宋体"/>
          <w:b/>
          <w:bCs/>
          <w:sz w:val="24"/>
          <w:szCs w:val="24"/>
          <w:lang w:bidi="ar"/>
        </w:rPr>
      </w:pPr>
    </w:p>
    <w:p w14:paraId="5A5F635C">
      <w:pPr>
        <w:pStyle w:val="18"/>
        <w:rPr>
          <w:rFonts w:hint="eastAsia" w:ascii="宋体" w:hAnsi="宋体" w:cs="宋体"/>
          <w:b/>
          <w:bCs/>
          <w:sz w:val="24"/>
          <w:szCs w:val="24"/>
          <w:lang w:bidi="ar"/>
        </w:rPr>
      </w:pPr>
    </w:p>
    <w:p w14:paraId="7B611204">
      <w:pPr>
        <w:pStyle w:val="18"/>
        <w:rPr>
          <w:rFonts w:hint="eastAsia" w:ascii="宋体" w:hAnsi="宋体" w:cs="宋体"/>
          <w:b/>
          <w:bCs/>
          <w:sz w:val="24"/>
          <w:szCs w:val="24"/>
          <w:lang w:bidi="ar"/>
        </w:rPr>
      </w:pPr>
    </w:p>
    <w:p w14:paraId="7739F75D">
      <w:pPr>
        <w:pStyle w:val="18"/>
        <w:rPr>
          <w:rFonts w:hint="eastAsia" w:ascii="宋体" w:hAnsi="宋体" w:cs="宋体"/>
          <w:b/>
          <w:bCs/>
          <w:sz w:val="24"/>
          <w:szCs w:val="24"/>
          <w:lang w:bidi="ar"/>
        </w:rPr>
      </w:pPr>
    </w:p>
    <w:p w14:paraId="699636CD">
      <w:pPr>
        <w:pStyle w:val="18"/>
        <w:rPr>
          <w:rFonts w:hint="eastAsia" w:ascii="宋体" w:hAnsi="宋体" w:cs="宋体"/>
          <w:b/>
          <w:bCs/>
          <w:sz w:val="24"/>
          <w:szCs w:val="24"/>
          <w:lang w:bidi="ar"/>
        </w:rPr>
      </w:pPr>
    </w:p>
    <w:p w14:paraId="1BFDEC1B">
      <w:pPr>
        <w:ind w:left="89" w:leftChars="1" w:hanging="87" w:hangingChars="36"/>
        <w:rPr>
          <w:rFonts w:ascii="宋体" w:hAnsi="宋体" w:eastAsia="宋体" w:cs="宋体"/>
          <w:color w:val="000000" w:themeColor="text1"/>
          <w:szCs w:val="24"/>
          <w14:textFill>
            <w14:solidFill>
              <w14:schemeClr w14:val="tx1"/>
            </w14:solidFill>
          </w14:textFill>
        </w:rPr>
      </w:pPr>
      <w:bookmarkStart w:id="413" w:name="_Toc176085647"/>
      <w:bookmarkStart w:id="414" w:name="_Toc174521078"/>
      <w:r>
        <w:rPr>
          <w:rFonts w:hint="eastAsia" w:ascii="宋体" w:hAnsi="宋体" w:eastAsia="宋体" w:cs="宋体"/>
          <w:b/>
          <w:bCs/>
          <w:color w:val="000000" w:themeColor="text1"/>
          <w:szCs w:val="24"/>
          <w14:textFill>
            <w14:solidFill>
              <w14:schemeClr w14:val="tx1"/>
            </w14:solidFill>
          </w14:textFill>
        </w:rPr>
        <w:t>附录5-1-5报价表格式</w:t>
      </w:r>
      <w:bookmarkEnd w:id="413"/>
      <w:bookmarkEnd w:id="414"/>
      <w:r>
        <w:rPr>
          <w:rFonts w:hint="eastAsia" w:ascii="宋体" w:hAnsi="宋体" w:eastAsia="宋体" w:cs="宋体"/>
          <w:b/>
          <w:bCs/>
          <w:color w:val="000000" w:themeColor="text1"/>
          <w:szCs w:val="24"/>
          <w14:textFill>
            <w14:solidFill>
              <w14:schemeClr w14:val="tx1"/>
            </w14:solidFill>
          </w14:textFill>
        </w:rPr>
        <w:t xml:space="preserve"> 参考模板</w:t>
      </w:r>
    </w:p>
    <w:p w14:paraId="202FDBC7">
      <w:pPr>
        <w:pStyle w:val="18"/>
      </w:pPr>
      <w:bookmarkStart w:id="415" w:name="_Toc456799804"/>
      <w:bookmarkStart w:id="416" w:name="_Toc456799696"/>
      <w:bookmarkStart w:id="417" w:name="_Toc176085649"/>
      <w:bookmarkStart w:id="418" w:name="_Toc456799956"/>
      <w:r>
        <w:rPr>
          <w:rFonts w:hint="eastAsia" w:ascii="宋体" w:hAnsi="宋体" w:cs="宋体"/>
          <w:b/>
          <w:bCs/>
          <w:sz w:val="24"/>
          <w:szCs w:val="24"/>
          <w:lang w:bidi="ar"/>
        </w:rPr>
        <w:t>工程名称：飞灰填埋场运营管理及飞灰转运、填埋服务</w:t>
      </w:r>
    </w:p>
    <w:tbl>
      <w:tblPr>
        <w:tblStyle w:val="48"/>
        <w:tblW w:w="8843" w:type="dxa"/>
        <w:tblInd w:w="93" w:type="dxa"/>
        <w:tblLayout w:type="autofit"/>
        <w:tblCellMar>
          <w:top w:w="0" w:type="dxa"/>
          <w:left w:w="108" w:type="dxa"/>
          <w:bottom w:w="0" w:type="dxa"/>
          <w:right w:w="108" w:type="dxa"/>
        </w:tblCellMar>
      </w:tblPr>
      <w:tblGrid>
        <w:gridCol w:w="1080"/>
        <w:gridCol w:w="3188"/>
        <w:gridCol w:w="2715"/>
        <w:gridCol w:w="1860"/>
      </w:tblGrid>
      <w:tr w14:paraId="70584592">
        <w:tblPrEx>
          <w:tblCellMar>
            <w:top w:w="0" w:type="dxa"/>
            <w:left w:w="108" w:type="dxa"/>
            <w:bottom w:w="0" w:type="dxa"/>
            <w:right w:w="108" w:type="dxa"/>
          </w:tblCellMar>
        </w:tblPrEx>
        <w:trPr>
          <w:trHeight w:val="53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77A42199">
            <w:pPr>
              <w:jc w:val="center"/>
              <w:textAlignment w:val="center"/>
              <w:rPr>
                <w:rFonts w:hint="eastAsia" w:ascii="宋体" w:hAnsi="宋体" w:cs="宋体"/>
                <w:sz w:val="22"/>
                <w:szCs w:val="22"/>
              </w:rPr>
            </w:pPr>
            <w:r>
              <w:rPr>
                <w:rFonts w:hint="eastAsia" w:ascii="宋体" w:hAnsi="宋体" w:cs="宋体"/>
                <w:sz w:val="22"/>
                <w:szCs w:val="22"/>
                <w:lang w:bidi="ar"/>
              </w:rPr>
              <w:t>序号</w:t>
            </w:r>
          </w:p>
        </w:tc>
        <w:tc>
          <w:tcPr>
            <w:tcW w:w="3188" w:type="dxa"/>
            <w:tcBorders>
              <w:top w:val="single" w:color="000000" w:sz="4" w:space="0"/>
              <w:left w:val="single" w:color="000000" w:sz="4" w:space="0"/>
              <w:bottom w:val="single" w:color="000000" w:sz="4" w:space="0"/>
              <w:right w:val="single" w:color="000000" w:sz="4" w:space="0"/>
            </w:tcBorders>
            <w:vAlign w:val="center"/>
          </w:tcPr>
          <w:p w14:paraId="033B86D0">
            <w:pPr>
              <w:jc w:val="center"/>
              <w:textAlignment w:val="center"/>
              <w:rPr>
                <w:rFonts w:hint="eastAsia" w:ascii="宋体" w:hAnsi="宋体" w:cs="宋体"/>
                <w:sz w:val="22"/>
                <w:szCs w:val="22"/>
              </w:rPr>
            </w:pPr>
            <w:r>
              <w:rPr>
                <w:rFonts w:hint="eastAsia" w:ascii="宋体" w:hAnsi="宋体" w:cs="宋体"/>
                <w:sz w:val="22"/>
                <w:szCs w:val="22"/>
                <w:lang w:bidi="ar"/>
              </w:rPr>
              <w:t>名称</w:t>
            </w:r>
          </w:p>
        </w:tc>
        <w:tc>
          <w:tcPr>
            <w:tcW w:w="2715" w:type="dxa"/>
            <w:tcBorders>
              <w:top w:val="single" w:color="000000" w:sz="4" w:space="0"/>
              <w:left w:val="single" w:color="000000" w:sz="4" w:space="0"/>
              <w:bottom w:val="single" w:color="000000" w:sz="4" w:space="0"/>
              <w:right w:val="single" w:color="000000" w:sz="4" w:space="0"/>
            </w:tcBorders>
            <w:vAlign w:val="center"/>
          </w:tcPr>
          <w:p w14:paraId="6E61B999">
            <w:pPr>
              <w:jc w:val="center"/>
              <w:textAlignment w:val="center"/>
              <w:rPr>
                <w:rFonts w:hint="eastAsia" w:ascii="宋体" w:hAnsi="宋体" w:cs="宋体"/>
                <w:sz w:val="22"/>
                <w:szCs w:val="22"/>
              </w:rPr>
            </w:pPr>
            <w:r>
              <w:rPr>
                <w:rFonts w:hint="eastAsia" w:ascii="宋体" w:hAnsi="宋体" w:cs="宋体"/>
                <w:sz w:val="22"/>
                <w:szCs w:val="22"/>
                <w:lang w:bidi="ar"/>
              </w:rPr>
              <w:t>综合单价</w:t>
            </w:r>
          </w:p>
          <w:p w14:paraId="1DCB767A">
            <w:pPr>
              <w:jc w:val="center"/>
              <w:textAlignment w:val="center"/>
              <w:rPr>
                <w:rFonts w:hint="eastAsia" w:ascii="宋体" w:hAnsi="宋体" w:cs="宋体"/>
                <w:sz w:val="22"/>
                <w:szCs w:val="22"/>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0296D783">
            <w:pPr>
              <w:jc w:val="center"/>
              <w:textAlignment w:val="center"/>
              <w:rPr>
                <w:rFonts w:hint="eastAsia" w:ascii="宋体" w:hAnsi="宋体" w:cs="宋体"/>
                <w:sz w:val="22"/>
                <w:szCs w:val="22"/>
              </w:rPr>
            </w:pPr>
            <w:r>
              <w:rPr>
                <w:rFonts w:hint="eastAsia" w:ascii="宋体" w:hAnsi="宋体" w:cs="宋体"/>
                <w:sz w:val="22"/>
                <w:szCs w:val="22"/>
                <w:lang w:bidi="ar"/>
              </w:rPr>
              <w:t>备注</w:t>
            </w:r>
          </w:p>
        </w:tc>
      </w:tr>
      <w:tr w14:paraId="7A83A9A5">
        <w:tblPrEx>
          <w:tblCellMar>
            <w:top w:w="0" w:type="dxa"/>
            <w:left w:w="108" w:type="dxa"/>
            <w:bottom w:w="0" w:type="dxa"/>
            <w:right w:w="108" w:type="dxa"/>
          </w:tblCellMar>
        </w:tblPrEx>
        <w:trPr>
          <w:trHeight w:val="89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6E49D3F">
            <w:pPr>
              <w:jc w:val="center"/>
              <w:textAlignment w:val="center"/>
              <w:rPr>
                <w:rFonts w:hint="eastAsia" w:ascii="宋体" w:hAnsi="宋体" w:cs="宋体"/>
                <w:sz w:val="22"/>
                <w:szCs w:val="22"/>
              </w:rPr>
            </w:pPr>
            <w:r>
              <w:rPr>
                <w:rFonts w:hint="eastAsia" w:ascii="宋体" w:hAnsi="宋体" w:cs="宋体"/>
                <w:sz w:val="22"/>
                <w:szCs w:val="22"/>
                <w:lang w:bidi="ar"/>
              </w:rPr>
              <w:t>1</w:t>
            </w:r>
          </w:p>
        </w:tc>
        <w:tc>
          <w:tcPr>
            <w:tcW w:w="3188" w:type="dxa"/>
            <w:tcBorders>
              <w:top w:val="single" w:color="000000" w:sz="4" w:space="0"/>
              <w:left w:val="single" w:color="000000" w:sz="4" w:space="0"/>
              <w:bottom w:val="single" w:color="000000" w:sz="4" w:space="0"/>
              <w:right w:val="single" w:color="000000" w:sz="4" w:space="0"/>
            </w:tcBorders>
            <w:vAlign w:val="center"/>
          </w:tcPr>
          <w:p w14:paraId="70D39244">
            <w:pPr>
              <w:textAlignment w:val="center"/>
              <w:rPr>
                <w:rFonts w:hint="eastAsia" w:ascii="宋体" w:hAnsi="宋体" w:cs="宋体"/>
                <w:sz w:val="22"/>
                <w:szCs w:val="22"/>
              </w:rPr>
            </w:pPr>
            <w:r>
              <w:rPr>
                <w:rFonts w:ascii="宋体" w:hAnsi="宋体"/>
                <w:sz w:val="24"/>
              </w:rPr>
              <w:t>高州市飞灰填埋场运营管理项目</w:t>
            </w:r>
          </w:p>
        </w:tc>
        <w:tc>
          <w:tcPr>
            <w:tcW w:w="2715" w:type="dxa"/>
            <w:tcBorders>
              <w:top w:val="single" w:color="000000" w:sz="4" w:space="0"/>
              <w:left w:val="single" w:color="000000" w:sz="4" w:space="0"/>
              <w:bottom w:val="single" w:color="000000" w:sz="4" w:space="0"/>
              <w:right w:val="single" w:color="000000" w:sz="4" w:space="0"/>
            </w:tcBorders>
            <w:vAlign w:val="center"/>
          </w:tcPr>
          <w:p w14:paraId="0A10E0F1">
            <w:pPr>
              <w:jc w:val="center"/>
              <w:rPr>
                <w:rFonts w:hint="eastAsia" w:ascii="宋体" w:hAnsi="宋体" w:cs="宋体"/>
                <w:sz w:val="22"/>
                <w:szCs w:val="22"/>
              </w:rPr>
            </w:pPr>
            <w:r>
              <w:rPr>
                <w:rFonts w:hint="eastAsia" w:ascii="宋体" w:hAnsi="宋体" w:cs="宋体"/>
                <w:sz w:val="22"/>
                <w:szCs w:val="22"/>
                <w:lang w:bidi="ar"/>
              </w:rPr>
              <w:t>元/吨</w:t>
            </w:r>
          </w:p>
        </w:tc>
        <w:tc>
          <w:tcPr>
            <w:tcW w:w="1860" w:type="dxa"/>
            <w:tcBorders>
              <w:top w:val="single" w:color="000000" w:sz="4" w:space="0"/>
              <w:left w:val="single" w:color="000000" w:sz="4" w:space="0"/>
              <w:bottom w:val="single" w:color="000000" w:sz="4" w:space="0"/>
              <w:right w:val="single" w:color="000000" w:sz="4" w:space="0"/>
            </w:tcBorders>
            <w:vAlign w:val="center"/>
          </w:tcPr>
          <w:p w14:paraId="1EF59A0C">
            <w:pPr>
              <w:jc w:val="center"/>
              <w:textAlignment w:val="center"/>
              <w:rPr>
                <w:rFonts w:hint="eastAsia" w:ascii="宋体" w:hAnsi="宋体" w:cs="宋体"/>
                <w:sz w:val="22"/>
                <w:szCs w:val="22"/>
              </w:rPr>
            </w:pPr>
          </w:p>
        </w:tc>
      </w:tr>
      <w:tr w14:paraId="0816D425">
        <w:tblPrEx>
          <w:tblCellMar>
            <w:top w:w="0" w:type="dxa"/>
            <w:left w:w="108" w:type="dxa"/>
            <w:bottom w:w="0" w:type="dxa"/>
            <w:right w:w="108" w:type="dxa"/>
          </w:tblCellMar>
        </w:tblPrEx>
        <w:trPr>
          <w:trHeight w:val="112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BA2C255">
            <w:pPr>
              <w:jc w:val="center"/>
              <w:textAlignment w:val="center"/>
              <w:rPr>
                <w:rFonts w:hint="eastAsia" w:ascii="宋体" w:hAnsi="宋体" w:cs="宋体"/>
                <w:sz w:val="22"/>
                <w:szCs w:val="22"/>
              </w:rPr>
            </w:pPr>
            <w:r>
              <w:rPr>
                <w:rFonts w:hint="eastAsia" w:ascii="宋体" w:hAnsi="宋体" w:cs="宋体"/>
                <w:sz w:val="22"/>
                <w:szCs w:val="22"/>
                <w:lang w:bidi="ar"/>
              </w:rPr>
              <w:t>2</w:t>
            </w:r>
          </w:p>
        </w:tc>
        <w:tc>
          <w:tcPr>
            <w:tcW w:w="3188" w:type="dxa"/>
            <w:tcBorders>
              <w:top w:val="single" w:color="000000" w:sz="4" w:space="0"/>
              <w:left w:val="single" w:color="000000" w:sz="4" w:space="0"/>
              <w:bottom w:val="single" w:color="000000" w:sz="4" w:space="0"/>
              <w:right w:val="single" w:color="000000" w:sz="4" w:space="0"/>
            </w:tcBorders>
            <w:vAlign w:val="center"/>
          </w:tcPr>
          <w:p w14:paraId="197DC20D">
            <w:pPr>
              <w:jc w:val="center"/>
              <w:textAlignment w:val="center"/>
              <w:rPr>
                <w:rFonts w:hint="eastAsia" w:ascii="宋体" w:hAnsi="宋体" w:cs="宋体"/>
                <w:sz w:val="22"/>
                <w:szCs w:val="22"/>
              </w:rPr>
            </w:pPr>
            <w:r>
              <w:rPr>
                <w:rFonts w:hint="eastAsia" w:ascii="宋体" w:hAnsi="宋体" w:cs="宋体"/>
                <w:sz w:val="22"/>
                <w:szCs w:val="22"/>
                <w:lang w:bidi="ar"/>
              </w:rPr>
              <w:t>税</w:t>
            </w:r>
            <w:r>
              <w:rPr>
                <w:rFonts w:hint="eastAsia" w:ascii="宋体" w:hAnsi="宋体" w:cs="宋体"/>
                <w:sz w:val="22"/>
                <w:szCs w:val="22"/>
                <w:lang w:val="en-US" w:eastAsia="zh-CN" w:bidi="ar"/>
              </w:rPr>
              <w:t>率</w:t>
            </w:r>
            <w:r>
              <w:rPr>
                <w:rFonts w:hint="eastAsia" w:ascii="宋体" w:hAnsi="宋体" w:cs="宋体"/>
                <w:sz w:val="22"/>
                <w:szCs w:val="22"/>
                <w:lang w:bidi="ar"/>
              </w:rPr>
              <w:t>（%）</w:t>
            </w:r>
          </w:p>
        </w:tc>
        <w:tc>
          <w:tcPr>
            <w:tcW w:w="2715" w:type="dxa"/>
            <w:tcBorders>
              <w:top w:val="single" w:color="000000" w:sz="4" w:space="0"/>
              <w:left w:val="single" w:color="000000" w:sz="4" w:space="0"/>
              <w:bottom w:val="single" w:color="000000" w:sz="4" w:space="0"/>
              <w:right w:val="single" w:color="000000" w:sz="4" w:space="0"/>
            </w:tcBorders>
            <w:vAlign w:val="center"/>
          </w:tcPr>
          <w:p w14:paraId="519CA12F">
            <w:pPr>
              <w:jc w:val="center"/>
              <w:rPr>
                <w:rFonts w:hint="eastAsia" w:ascii="宋体" w:hAnsi="宋体" w:cs="宋体"/>
                <w:sz w:val="22"/>
                <w:szCs w:val="22"/>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0506F4F7">
            <w:pPr>
              <w:jc w:val="center"/>
              <w:textAlignment w:val="center"/>
              <w:rPr>
                <w:rFonts w:hint="default" w:ascii="宋体" w:hAnsi="宋体" w:eastAsia="华文中宋" w:cs="宋体"/>
                <w:sz w:val="22"/>
                <w:szCs w:val="22"/>
                <w:lang w:val="en-US" w:eastAsia="zh-CN"/>
              </w:rPr>
            </w:pPr>
            <w:r>
              <w:rPr>
                <w:rFonts w:hint="eastAsia" w:ascii="宋体" w:hAnsi="宋体" w:cs="宋体"/>
                <w:sz w:val="22"/>
                <w:szCs w:val="22"/>
                <w:lang w:val="en-US" w:eastAsia="zh-CN"/>
              </w:rPr>
              <w:t>增值税专用发票</w:t>
            </w:r>
          </w:p>
        </w:tc>
      </w:tr>
      <w:tr w14:paraId="4ACB01DB">
        <w:tblPrEx>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21BAADD">
            <w:pPr>
              <w:jc w:val="center"/>
              <w:textAlignment w:val="center"/>
              <w:rPr>
                <w:rFonts w:hint="eastAsia" w:ascii="宋体" w:hAnsi="宋体" w:cs="宋体"/>
                <w:sz w:val="22"/>
                <w:szCs w:val="22"/>
              </w:rPr>
            </w:pPr>
            <w:r>
              <w:rPr>
                <w:rFonts w:hint="eastAsia" w:ascii="宋体" w:hAnsi="宋体" w:cs="宋体"/>
                <w:sz w:val="22"/>
                <w:szCs w:val="22"/>
                <w:lang w:bidi="ar"/>
              </w:rPr>
              <w:t>3</w:t>
            </w:r>
          </w:p>
        </w:tc>
        <w:tc>
          <w:tcPr>
            <w:tcW w:w="3188" w:type="dxa"/>
            <w:tcBorders>
              <w:top w:val="single" w:color="000000" w:sz="4" w:space="0"/>
              <w:left w:val="single" w:color="000000" w:sz="4" w:space="0"/>
              <w:bottom w:val="single" w:color="000000" w:sz="4" w:space="0"/>
              <w:right w:val="single" w:color="000000" w:sz="4" w:space="0"/>
            </w:tcBorders>
            <w:vAlign w:val="center"/>
          </w:tcPr>
          <w:p w14:paraId="6ADFA5E8">
            <w:pPr>
              <w:jc w:val="center"/>
              <w:textAlignment w:val="center"/>
              <w:rPr>
                <w:rFonts w:hint="eastAsia" w:ascii="宋体" w:hAnsi="宋体" w:cs="宋体"/>
                <w:sz w:val="22"/>
                <w:szCs w:val="22"/>
              </w:rPr>
            </w:pPr>
            <w:r>
              <w:rPr>
                <w:rFonts w:hint="eastAsia" w:ascii="宋体" w:hAnsi="宋体" w:cs="宋体"/>
                <w:sz w:val="22"/>
                <w:szCs w:val="22"/>
                <w:lang w:bidi="ar"/>
              </w:rPr>
              <w:t>总计</w:t>
            </w:r>
          </w:p>
        </w:tc>
        <w:tc>
          <w:tcPr>
            <w:tcW w:w="2715" w:type="dxa"/>
            <w:tcBorders>
              <w:top w:val="single" w:color="000000" w:sz="4" w:space="0"/>
              <w:left w:val="single" w:color="000000" w:sz="4" w:space="0"/>
              <w:bottom w:val="single" w:color="000000" w:sz="4" w:space="0"/>
              <w:right w:val="single" w:color="000000" w:sz="4" w:space="0"/>
            </w:tcBorders>
            <w:vAlign w:val="center"/>
          </w:tcPr>
          <w:p w14:paraId="1365E764">
            <w:pPr>
              <w:jc w:val="center"/>
              <w:textAlignment w:val="center"/>
              <w:rPr>
                <w:rFonts w:hint="eastAsia" w:ascii="宋体" w:hAnsi="宋体" w:cs="宋体"/>
                <w:sz w:val="22"/>
                <w:szCs w:val="22"/>
              </w:rPr>
            </w:pPr>
            <w:r>
              <w:rPr>
                <w:rFonts w:hint="eastAsia" w:ascii="宋体" w:hAnsi="宋体" w:cs="宋体"/>
                <w:sz w:val="22"/>
                <w:szCs w:val="22"/>
                <w:lang w:bidi="ar"/>
              </w:rPr>
              <w:t>元</w:t>
            </w:r>
          </w:p>
        </w:tc>
        <w:tc>
          <w:tcPr>
            <w:tcW w:w="1860" w:type="dxa"/>
            <w:tcBorders>
              <w:top w:val="single" w:color="000000" w:sz="4" w:space="0"/>
              <w:left w:val="single" w:color="000000" w:sz="4" w:space="0"/>
              <w:bottom w:val="single" w:color="000000" w:sz="4" w:space="0"/>
              <w:right w:val="single" w:color="000000" w:sz="4" w:space="0"/>
            </w:tcBorders>
            <w:vAlign w:val="center"/>
          </w:tcPr>
          <w:p w14:paraId="3CC447BD">
            <w:pPr>
              <w:jc w:val="center"/>
              <w:rPr>
                <w:rFonts w:hint="default" w:ascii="宋体" w:hAnsi="宋体" w:eastAsia="华文中宋" w:cs="宋体"/>
                <w:sz w:val="22"/>
                <w:szCs w:val="22"/>
                <w:lang w:val="en-US" w:eastAsia="zh-CN"/>
              </w:rPr>
            </w:pPr>
            <w:r>
              <w:rPr>
                <w:rFonts w:hint="eastAsia" w:ascii="宋体" w:hAnsi="宋体" w:cs="宋体"/>
                <w:sz w:val="22"/>
                <w:szCs w:val="22"/>
                <w:lang w:val="en-US" w:eastAsia="zh-CN"/>
              </w:rPr>
              <w:t>11000吨/年</w:t>
            </w:r>
          </w:p>
        </w:tc>
      </w:tr>
    </w:tbl>
    <w:p w14:paraId="6C37AA72">
      <w:pPr>
        <w:spacing w:line="360" w:lineRule="auto"/>
        <w:ind w:left="1552" w:leftChars="213" w:hanging="1041" w:hangingChars="432"/>
        <w:rPr>
          <w:rFonts w:hint="eastAsia" w:ascii="宋体" w:hAnsi="宋体"/>
          <w:b/>
          <w:bCs/>
          <w:sz w:val="24"/>
          <w:szCs w:val="24"/>
        </w:rPr>
      </w:pPr>
      <w:r>
        <w:rPr>
          <w:rFonts w:hint="eastAsia" w:ascii="宋体" w:hAnsi="宋体"/>
          <w:b/>
          <w:bCs/>
          <w:sz w:val="24"/>
          <w:szCs w:val="24"/>
        </w:rPr>
        <w:t>备注： 各投标单位</w:t>
      </w:r>
      <w:r>
        <w:rPr>
          <w:rFonts w:hint="eastAsia" w:ascii="宋体" w:hAnsi="宋体" w:cs="宋体"/>
          <w:b/>
          <w:bCs/>
          <w:sz w:val="24"/>
          <w:szCs w:val="24"/>
          <w:lang w:bidi="ar"/>
        </w:rPr>
        <w:t>飞灰填埋场运营管理及飞灰转运、填埋服务</w:t>
      </w:r>
      <w:r>
        <w:rPr>
          <w:rFonts w:hint="eastAsia" w:ascii="宋体" w:hAnsi="宋体"/>
          <w:b/>
          <w:bCs/>
          <w:sz w:val="24"/>
          <w:szCs w:val="24"/>
        </w:rPr>
        <w:t>报价时需自行附上综合单价组成明细表。</w:t>
      </w:r>
    </w:p>
    <w:p w14:paraId="4282626F">
      <w:pPr>
        <w:spacing w:line="360" w:lineRule="auto"/>
        <w:ind w:firstLine="240" w:firstLineChars="100"/>
        <w:rPr>
          <w:rFonts w:ascii="宋体" w:hAnsi="宋体" w:eastAsia="宋体" w:cs="宋体"/>
          <w:color w:val="000000" w:themeColor="text1"/>
          <w:szCs w:val="24"/>
          <w:highlight w:val="yellow"/>
          <w14:textFill>
            <w14:solidFill>
              <w14:schemeClr w14:val="tx1"/>
            </w14:solidFill>
          </w14:textFill>
        </w:rPr>
      </w:pPr>
    </w:p>
    <w:p w14:paraId="2D0BA80D">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10D2FF3C">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76287595">
      <w:pPr>
        <w:spacing w:line="360" w:lineRule="auto"/>
        <w:ind w:right="960"/>
        <w:jc w:val="right"/>
        <w:rPr>
          <w:rFonts w:ascii="宋体" w:hAnsi="宋体" w:eastAsia="宋体" w:cs="宋体"/>
          <w:color w:val="000000" w:themeColor="text1"/>
          <w:sz w:val="28"/>
          <w:szCs w:val="28"/>
          <w14:textFill>
            <w14:solidFill>
              <w14:schemeClr w14:val="tx1"/>
            </w14:solidFill>
          </w14:textFill>
        </w:rPr>
        <w:sectPr>
          <w:pgSz w:w="11907" w:h="16840"/>
          <w:pgMar w:top="1418" w:right="1418" w:bottom="1418" w:left="1418" w:header="851" w:footer="906" w:gutter="0"/>
          <w:pgNumType w:fmt="decimal"/>
          <w:cols w:space="425" w:num="1"/>
          <w:titlePg/>
          <w:docGrid w:linePitch="536" w:charSpace="7143"/>
        </w:sectPr>
      </w:pPr>
      <w:r>
        <w:rPr>
          <w:rFonts w:hint="eastAsia" w:ascii="宋体" w:hAnsi="宋体" w:eastAsia="宋体" w:cs="宋体"/>
          <w:bCs/>
          <w:color w:val="000000" w:themeColor="text1"/>
          <w:szCs w:val="24"/>
          <w14:textFill>
            <w14:solidFill>
              <w14:schemeClr w14:val="tx1"/>
            </w14:solidFill>
          </w14:textFill>
        </w:rPr>
        <w:t>投标人</w:t>
      </w:r>
      <w:r>
        <w:rPr>
          <w:rFonts w:hint="eastAsia" w:ascii="宋体" w:hAnsi="宋体" w:eastAsia="宋体" w:cs="宋体"/>
          <w:color w:val="000000" w:themeColor="text1"/>
          <w:szCs w:val="24"/>
          <w14:textFill>
            <w14:solidFill>
              <w14:schemeClr w14:val="tx1"/>
            </w14:solidFill>
          </w14:textFill>
        </w:rPr>
        <w:t>代表签字公章：</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p w14:paraId="642F20C5">
      <w:pPr>
        <w:ind w:left="89" w:leftChars="1" w:hanging="87" w:hangingChars="36"/>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附录5-1-6商务偏离表格式</w:t>
      </w:r>
      <w:bookmarkEnd w:id="415"/>
      <w:bookmarkEnd w:id="416"/>
      <w:bookmarkEnd w:id="417"/>
      <w:bookmarkEnd w:id="418"/>
    </w:p>
    <w:p w14:paraId="4FA61ED1">
      <w:pPr>
        <w:pStyle w:val="94"/>
        <w:spacing w:line="240" w:lineRule="auto"/>
        <w:rPr>
          <w:rFonts w:hint="default" w:ascii="宋体" w:hAnsi="宋体" w:eastAsia="宋体" w:cs="宋体"/>
          <w:bCs w:val="0"/>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商务、技术偏离表</w:t>
      </w:r>
    </w:p>
    <w:p w14:paraId="34583A00">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 xml:space="preserve">   投标人名称：</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tbl>
      <w:tblPr>
        <w:tblStyle w:val="48"/>
        <w:tblW w:w="1423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748"/>
        <w:gridCol w:w="2291"/>
        <w:gridCol w:w="2291"/>
        <w:gridCol w:w="3062"/>
        <w:gridCol w:w="2460"/>
        <w:gridCol w:w="3386"/>
      </w:tblGrid>
      <w:tr w14:paraId="04F42EE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748" w:type="dxa"/>
            <w:vAlign w:val="center"/>
          </w:tcPr>
          <w:p w14:paraId="0E68C084">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序号</w:t>
            </w:r>
          </w:p>
        </w:tc>
        <w:tc>
          <w:tcPr>
            <w:tcW w:w="2291" w:type="dxa"/>
            <w:vAlign w:val="center"/>
          </w:tcPr>
          <w:p w14:paraId="4DF4E507">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招标文件条目号</w:t>
            </w:r>
          </w:p>
        </w:tc>
        <w:tc>
          <w:tcPr>
            <w:tcW w:w="2291" w:type="dxa"/>
            <w:vAlign w:val="center"/>
          </w:tcPr>
          <w:p w14:paraId="2B2FCAF2">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招标文件的商务条款</w:t>
            </w:r>
          </w:p>
        </w:tc>
        <w:tc>
          <w:tcPr>
            <w:tcW w:w="3062" w:type="dxa"/>
            <w:vAlign w:val="center"/>
          </w:tcPr>
          <w:p w14:paraId="7B8000AB">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投标文件的商务条款</w:t>
            </w:r>
          </w:p>
        </w:tc>
        <w:tc>
          <w:tcPr>
            <w:tcW w:w="2460" w:type="dxa"/>
            <w:tcBorders>
              <w:right w:val="single" w:color="auto" w:sz="4" w:space="0"/>
            </w:tcBorders>
            <w:vAlign w:val="center"/>
          </w:tcPr>
          <w:p w14:paraId="03CF3768">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偏离说明</w:t>
            </w:r>
          </w:p>
        </w:tc>
        <w:tc>
          <w:tcPr>
            <w:tcW w:w="3386" w:type="dxa"/>
            <w:tcBorders>
              <w:left w:val="single" w:color="auto" w:sz="4" w:space="0"/>
            </w:tcBorders>
            <w:vAlign w:val="center"/>
          </w:tcPr>
          <w:p w14:paraId="0FED9416">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投标文件编号</w:t>
            </w:r>
          </w:p>
        </w:tc>
      </w:tr>
      <w:tr w14:paraId="70DBF2A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428" w:hRule="atLeast"/>
        </w:trPr>
        <w:tc>
          <w:tcPr>
            <w:tcW w:w="748" w:type="dxa"/>
          </w:tcPr>
          <w:p w14:paraId="0BB4ABCB">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185DC2C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6D14A5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055835D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58860AE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54C1C230">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59C19C0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138" w:hRule="atLeast"/>
        </w:trPr>
        <w:tc>
          <w:tcPr>
            <w:tcW w:w="748" w:type="dxa"/>
          </w:tcPr>
          <w:p w14:paraId="1EF18E9D">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47D9AB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CDAED4F">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69F0F220">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3893921D">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522D19C2">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105F18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3DFFD2AA">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6550545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A1CA4C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63ACA636">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5D7CCFE0">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35387931">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1298ACE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74100C1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CF6F58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F67930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3AA68963">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7F4DAD4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2A83C714">
            <w:pPr>
              <w:spacing w:before="163" w:beforeLines="50" w:after="163" w:afterLines="50"/>
              <w:rPr>
                <w:rFonts w:ascii="宋体" w:hAnsi="宋体" w:eastAsia="宋体" w:cs="宋体"/>
                <w:color w:val="000000" w:themeColor="text1"/>
                <w:szCs w:val="24"/>
                <w14:textFill>
                  <w14:solidFill>
                    <w14:schemeClr w14:val="tx1"/>
                  </w14:solidFill>
                </w14:textFill>
              </w:rPr>
            </w:pPr>
          </w:p>
        </w:tc>
      </w:tr>
    </w:tbl>
    <w:p w14:paraId="14425579">
      <w:pPr>
        <w:pStyle w:val="94"/>
        <w:tabs>
          <w:tab w:val="clear" w:pos="2340"/>
        </w:tabs>
        <w:wordWrap w:val="0"/>
        <w:spacing w:line="240" w:lineRule="auto"/>
        <w:jc w:val="right"/>
        <w:rPr>
          <w:rFonts w:hint="default" w:ascii="宋体" w:hAnsi="宋体" w:eastAsia="宋体" w:cs="宋体"/>
          <w:b w:val="0"/>
          <w:color w:val="000000" w:themeColor="text1"/>
          <w:sz w:val="24"/>
          <w:szCs w:val="24"/>
          <w14:textFill>
            <w14:solidFill>
              <w14:schemeClr w14:val="tx1"/>
            </w14:solidFill>
          </w14:textFill>
        </w:rPr>
      </w:pPr>
    </w:p>
    <w:p w14:paraId="049F36B1">
      <w:pPr>
        <w:pStyle w:val="94"/>
        <w:tabs>
          <w:tab w:val="clear" w:pos="2340"/>
        </w:tabs>
        <w:wordWrap w:val="0"/>
        <w:spacing w:line="240" w:lineRule="auto"/>
        <w:jc w:val="right"/>
        <w:rPr>
          <w:rFonts w:hint="default" w:ascii="宋体" w:hAnsi="宋体" w:eastAsia="宋体" w:cs="宋体"/>
          <w:b w:val="0"/>
          <w:color w:val="000000" w:themeColor="text1"/>
          <w:sz w:val="24"/>
          <w:szCs w:val="24"/>
          <w:u w:val="single"/>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投标人代表签字盖章：</w:t>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 xml:space="preserve">        </w:t>
      </w:r>
    </w:p>
    <w:p w14:paraId="3AA0BD3C">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64569DD8">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21BE5235">
      <w:pPr>
        <w:pStyle w:val="94"/>
        <w:tabs>
          <w:tab w:val="clear" w:pos="2340"/>
        </w:tabs>
        <w:spacing w:line="240" w:lineRule="auto"/>
        <w:jc w:val="left"/>
        <w:rPr>
          <w:rFonts w:hint="default" w:ascii="宋体" w:hAnsi="宋体" w:eastAsia="宋体" w:cs="宋体"/>
          <w:color w:val="000000" w:themeColor="text1"/>
          <w:sz w:val="24"/>
          <w:szCs w:val="24"/>
          <w14:textFill>
            <w14:solidFill>
              <w14:schemeClr w14:val="tx1"/>
            </w14:solidFill>
          </w14:textFill>
        </w:rPr>
        <w:sectPr>
          <w:headerReference r:id="rId10" w:type="default"/>
          <w:footerReference r:id="rId11" w:type="default"/>
          <w:pgSz w:w="16838" w:h="11906" w:orient="landscape"/>
          <w:pgMar w:top="1080" w:right="1440" w:bottom="1080" w:left="1440" w:header="851" w:footer="992" w:gutter="0"/>
          <w:pgNumType w:fmt="decimal"/>
          <w:cols w:space="425" w:num="1"/>
          <w:docGrid w:type="lines" w:linePitch="326" w:charSpace="0"/>
        </w:sectPr>
      </w:pPr>
    </w:p>
    <w:p w14:paraId="6E11DAAD">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19" w:name="_Toc12251"/>
      <w:bookmarkStart w:id="420" w:name="_Toc136173623"/>
      <w:r>
        <w:rPr>
          <w:rFonts w:hint="eastAsia" w:ascii="宋体" w:hAnsi="宋体" w:eastAsia="宋体" w:cs="宋体"/>
          <w:b/>
          <w:bCs/>
          <w:color w:val="000000" w:themeColor="text1"/>
          <w:sz w:val="28"/>
          <w:szCs w:val="28"/>
          <w:lang w:val="zh-CN"/>
          <w14:textFill>
            <w14:solidFill>
              <w14:schemeClr w14:val="tx1"/>
            </w14:solidFill>
          </w14:textFill>
        </w:rPr>
        <w:t>2.投标商资质文件的格式和内容</w:t>
      </w:r>
      <w:bookmarkEnd w:id="419"/>
      <w:bookmarkEnd w:id="420"/>
    </w:p>
    <w:p w14:paraId="57196999">
      <w:pPr>
        <w:rPr>
          <w:rFonts w:ascii="宋体" w:hAnsi="宋体" w:eastAsia="宋体" w:cs="宋体"/>
          <w:color w:val="000000" w:themeColor="text1"/>
          <w14:textFill>
            <w14:solidFill>
              <w14:schemeClr w14:val="tx1"/>
            </w14:solidFill>
          </w14:textFill>
        </w:rPr>
      </w:pPr>
    </w:p>
    <w:p w14:paraId="31090489">
      <w:pPr>
        <w:rPr>
          <w:rFonts w:ascii="宋体" w:hAnsi="宋体" w:eastAsia="宋体" w:cs="宋体"/>
          <w:color w:val="000000" w:themeColor="text1"/>
          <w14:textFill>
            <w14:solidFill>
              <w14:schemeClr w14:val="tx1"/>
            </w14:solidFill>
          </w14:textFill>
        </w:rPr>
      </w:pPr>
    </w:p>
    <w:p w14:paraId="4BAB546F">
      <w:pPr>
        <w:jc w:val="center"/>
        <w:rPr>
          <w:rFonts w:ascii="宋体" w:hAnsi="宋体" w:eastAsia="宋体" w:cs="宋体"/>
          <w:b/>
          <w:color w:val="000000" w:themeColor="text1"/>
          <w:sz w:val="44"/>
          <w:szCs w:val="44"/>
          <w14:textFill>
            <w14:solidFill>
              <w14:schemeClr w14:val="tx1"/>
            </w14:solidFill>
          </w14:textFill>
        </w:rPr>
      </w:pPr>
    </w:p>
    <w:p w14:paraId="7A114BBB">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高州</w:t>
      </w:r>
      <w:r>
        <w:rPr>
          <w:rFonts w:hint="eastAsia" w:ascii="宋体" w:hAnsi="宋体" w:eastAsia="宋体" w:cs="宋体"/>
          <w:b/>
          <w:color w:val="000000" w:themeColor="text1"/>
          <w:sz w:val="44"/>
          <w:szCs w:val="44"/>
          <w14:textFill>
            <w14:solidFill>
              <w14:schemeClr w14:val="tx1"/>
            </w14:solidFill>
          </w14:textFill>
        </w:rPr>
        <w:t>项目</w:t>
      </w:r>
    </w:p>
    <w:p w14:paraId="6D5454FD">
      <w:pPr>
        <w:jc w:val="center"/>
        <w:rPr>
          <w:rFonts w:ascii="宋体" w:hAnsi="宋体" w:eastAsia="宋体" w:cs="宋体"/>
          <w:b/>
          <w:color w:val="000000" w:themeColor="text1"/>
          <w:sz w:val="44"/>
          <w:szCs w:val="44"/>
          <w14:textFill>
            <w14:solidFill>
              <w14:schemeClr w14:val="tx1"/>
            </w14:solidFill>
          </w14:textFill>
        </w:rPr>
      </w:pPr>
    </w:p>
    <w:p w14:paraId="2108A95D">
      <w:pPr>
        <w:jc w:val="center"/>
        <w:rPr>
          <w:rFonts w:ascii="宋体" w:hAnsi="宋体" w:eastAsia="宋体" w:cs="宋体"/>
          <w:b/>
          <w:color w:val="000000" w:themeColor="text1"/>
          <w:sz w:val="44"/>
          <w:szCs w:val="44"/>
          <w14:textFill>
            <w14:solidFill>
              <w14:schemeClr w14:val="tx1"/>
            </w14:solidFill>
          </w14:textFill>
        </w:rPr>
      </w:pPr>
    </w:p>
    <w:p w14:paraId="6AA5A7FC">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2025年-2026年金坑飞灰填埋场运营管理及飞灰转运、填埋服务</w:t>
      </w:r>
    </w:p>
    <w:p w14:paraId="267D1A07">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2824AF95">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66E00AC1">
      <w:pPr>
        <w:widowControl/>
        <w:adjustRightInd w:val="0"/>
        <w:snapToGrid w:val="0"/>
        <w:spacing w:line="360" w:lineRule="auto"/>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第二部分 商务资格投标书</w:t>
      </w:r>
    </w:p>
    <w:p w14:paraId="229B3A75">
      <w:pPr>
        <w:widowControl/>
        <w:adjustRightInd w:val="0"/>
        <w:snapToGrid w:val="0"/>
        <w:spacing w:line="360" w:lineRule="auto"/>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（招标编号:ITB-LK-GZFD-YY-fw-2025-057）</w:t>
      </w:r>
    </w:p>
    <w:p w14:paraId="3A4EA73E">
      <w:pPr>
        <w:jc w:val="center"/>
        <w:rPr>
          <w:rFonts w:ascii="宋体" w:hAnsi="宋体" w:eastAsia="宋体" w:cs="宋体"/>
          <w:b/>
          <w:color w:val="000000" w:themeColor="text1"/>
          <w:sz w:val="28"/>
          <w:szCs w:val="28"/>
          <w14:textFill>
            <w14:solidFill>
              <w14:schemeClr w14:val="tx1"/>
            </w14:solidFill>
          </w14:textFill>
        </w:rPr>
      </w:pPr>
    </w:p>
    <w:p w14:paraId="112E19E4">
      <w:pPr>
        <w:jc w:val="center"/>
        <w:rPr>
          <w:rFonts w:ascii="宋体" w:hAnsi="宋体" w:eastAsia="宋体" w:cs="宋体"/>
          <w:b/>
          <w:color w:val="000000" w:themeColor="text1"/>
          <w:sz w:val="28"/>
          <w:szCs w:val="28"/>
          <w14:textFill>
            <w14:solidFill>
              <w14:schemeClr w14:val="tx1"/>
            </w14:solidFill>
          </w14:textFill>
        </w:rPr>
      </w:pPr>
    </w:p>
    <w:p w14:paraId="7F7DE09B">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20A1CCAD">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4A7DF3B8">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11472F89">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13B9CADA">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0EE6B32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w:t>
      </w:r>
      <w:r>
        <w:rPr>
          <w:rFonts w:hint="eastAsia" w:ascii="宋体" w:hAnsi="宋体" w:eastAsia="宋体" w:cs="宋体"/>
          <w:bCs/>
          <w:color w:val="000000" w:themeColor="text1"/>
          <w:sz w:val="28"/>
          <w:szCs w:val="28"/>
          <w:lang w:val="en-US" w:eastAsia="zh-CN"/>
          <w14:textFill>
            <w14:solidFill>
              <w14:schemeClr w14:val="tx1"/>
            </w14:solidFill>
          </w14:textFill>
        </w:rPr>
        <w:t>五</w:t>
      </w:r>
      <w:r>
        <w:rPr>
          <w:rFonts w:hint="eastAsia" w:ascii="宋体" w:hAnsi="宋体" w:eastAsia="宋体" w:cs="宋体"/>
          <w:bCs/>
          <w:color w:val="000000" w:themeColor="text1"/>
          <w:sz w:val="28"/>
          <w:szCs w:val="28"/>
          <w:lang w:val="zh-CN"/>
          <w14:textFill>
            <w14:solidFill>
              <w14:schemeClr w14:val="tx1"/>
            </w14:solidFill>
          </w14:textFill>
        </w:rPr>
        <w:t>年  月   日</w:t>
      </w:r>
    </w:p>
    <w:p w14:paraId="59EF3126">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403799A3">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70565D45">
      <w:pPr>
        <w:rPr>
          <w:rFonts w:ascii="宋体" w:hAnsi="宋体" w:eastAsia="宋体" w:cs="宋体"/>
          <w:color w:val="000000" w:themeColor="text1"/>
          <w14:textFill>
            <w14:solidFill>
              <w14:schemeClr w14:val="tx1"/>
            </w14:solidFill>
          </w14:textFill>
        </w:rPr>
      </w:pPr>
    </w:p>
    <w:p w14:paraId="02C2DF83">
      <w:pPr>
        <w:spacing w:line="580" w:lineRule="exact"/>
        <w:rPr>
          <w:rFonts w:ascii="宋体" w:hAnsi="宋体" w:eastAsia="宋体" w:cs="宋体"/>
          <w:b/>
          <w:bCs/>
          <w:color w:val="000000" w:themeColor="text1"/>
          <w:szCs w:val="24"/>
          <w14:textFill>
            <w14:solidFill>
              <w14:schemeClr w14:val="tx1"/>
            </w14:solidFill>
          </w14:textFill>
        </w:rPr>
      </w:pPr>
      <w:bookmarkStart w:id="421" w:name="_Toc176085646"/>
      <w:bookmarkStart w:id="422" w:name="_Toc174521077"/>
      <w:r>
        <w:rPr>
          <w:rFonts w:hint="eastAsia" w:ascii="宋体" w:hAnsi="宋体" w:eastAsia="宋体" w:cs="宋体"/>
          <w:b/>
          <w:color w:val="000000" w:themeColor="text1"/>
          <w:szCs w:val="24"/>
          <w14:textFill>
            <w14:solidFill>
              <w14:schemeClr w14:val="tx1"/>
            </w14:solidFill>
          </w14:textFill>
        </w:rPr>
        <w:t>附录5-2-1投标人企业基本情况表</w:t>
      </w:r>
    </w:p>
    <w:p w14:paraId="3D08BEE3">
      <w:pPr>
        <w:spacing w:line="580" w:lineRule="exact"/>
        <w:jc w:val="center"/>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投标人企业基本情况表</w:t>
      </w:r>
    </w:p>
    <w:tbl>
      <w:tblPr>
        <w:tblStyle w:val="48"/>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13"/>
        <w:gridCol w:w="1482"/>
        <w:gridCol w:w="709"/>
        <w:gridCol w:w="957"/>
        <w:gridCol w:w="320"/>
        <w:gridCol w:w="940"/>
        <w:gridCol w:w="51"/>
        <w:gridCol w:w="1560"/>
        <w:gridCol w:w="231"/>
        <w:gridCol w:w="478"/>
        <w:gridCol w:w="1919"/>
      </w:tblGrid>
      <w:tr w14:paraId="639C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1C5C55A3">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公司名</w:t>
            </w:r>
            <w:r>
              <w:rPr>
                <w:rFonts w:hint="eastAsia" w:ascii="宋体" w:hAnsi="宋体" w:eastAsia="宋体" w:cs="宋体"/>
                <w:color w:val="000000" w:themeColor="text1"/>
                <w:kern w:val="0"/>
                <w:szCs w:val="24"/>
                <w14:textFill>
                  <w14:solidFill>
                    <w14:schemeClr w14:val="tx1"/>
                  </w14:solidFill>
                </w14:textFill>
              </w:rPr>
              <w:t>称</w:t>
            </w:r>
          </w:p>
        </w:tc>
        <w:tc>
          <w:tcPr>
            <w:tcW w:w="8647" w:type="dxa"/>
            <w:gridSpan w:val="10"/>
            <w:tcMar>
              <w:left w:w="28" w:type="dxa"/>
              <w:right w:w="28" w:type="dxa"/>
            </w:tcMar>
            <w:vAlign w:val="center"/>
          </w:tcPr>
          <w:p w14:paraId="061DB1D3">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tc>
      </w:tr>
      <w:tr w14:paraId="7FF9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44C0DFFC">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公司地</w:t>
            </w:r>
            <w:r>
              <w:rPr>
                <w:rFonts w:hint="eastAsia" w:ascii="宋体" w:hAnsi="宋体" w:eastAsia="宋体" w:cs="宋体"/>
                <w:color w:val="000000" w:themeColor="text1"/>
                <w:kern w:val="0"/>
                <w:szCs w:val="24"/>
                <w14:textFill>
                  <w14:solidFill>
                    <w14:schemeClr w14:val="tx1"/>
                  </w14:solidFill>
                </w14:textFill>
              </w:rPr>
              <w:t>址</w:t>
            </w:r>
          </w:p>
        </w:tc>
        <w:tc>
          <w:tcPr>
            <w:tcW w:w="4459" w:type="dxa"/>
            <w:gridSpan w:val="6"/>
            <w:tcMar>
              <w:left w:w="28" w:type="dxa"/>
              <w:right w:w="28" w:type="dxa"/>
            </w:tcMar>
            <w:vAlign w:val="center"/>
          </w:tcPr>
          <w:p w14:paraId="5CA3E5AE">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509D1DB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信用代码</w:t>
            </w:r>
          </w:p>
        </w:tc>
        <w:tc>
          <w:tcPr>
            <w:tcW w:w="2628" w:type="dxa"/>
            <w:gridSpan w:val="3"/>
            <w:tcMar>
              <w:left w:w="28" w:type="dxa"/>
              <w:right w:w="28" w:type="dxa"/>
            </w:tcMar>
            <w:vAlign w:val="center"/>
          </w:tcPr>
          <w:p w14:paraId="4B4A4DAC">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6036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7" w:hRule="atLeast"/>
          <w:jc w:val="center"/>
        </w:trPr>
        <w:tc>
          <w:tcPr>
            <w:tcW w:w="1513" w:type="dxa"/>
            <w:tcMar>
              <w:left w:w="28" w:type="dxa"/>
              <w:right w:w="28" w:type="dxa"/>
            </w:tcMar>
            <w:vAlign w:val="center"/>
          </w:tcPr>
          <w:p w14:paraId="6E956D68">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26"/>
                <w:kern w:val="0"/>
                <w:szCs w:val="24"/>
                <w14:textFill>
                  <w14:solidFill>
                    <w14:schemeClr w14:val="tx1"/>
                  </w14:solidFill>
                </w14:textFill>
              </w:rPr>
              <w:t>法定代表</w:t>
            </w:r>
            <w:r>
              <w:rPr>
                <w:rFonts w:hint="eastAsia" w:ascii="宋体" w:hAnsi="宋体" w:eastAsia="宋体" w:cs="宋体"/>
                <w:color w:val="000000" w:themeColor="text1"/>
                <w:spacing w:val="1"/>
                <w:kern w:val="0"/>
                <w:szCs w:val="24"/>
                <w14:textFill>
                  <w14:solidFill>
                    <w14:schemeClr w14:val="tx1"/>
                  </w14:solidFill>
                </w14:textFill>
              </w:rPr>
              <w:t>人</w:t>
            </w:r>
          </w:p>
        </w:tc>
        <w:tc>
          <w:tcPr>
            <w:tcW w:w="4459" w:type="dxa"/>
            <w:gridSpan w:val="6"/>
            <w:tcMar>
              <w:left w:w="28" w:type="dxa"/>
              <w:right w:w="28" w:type="dxa"/>
            </w:tcMar>
            <w:vAlign w:val="center"/>
          </w:tcPr>
          <w:p w14:paraId="5FC807FA">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7A722273">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注册资</w:t>
            </w:r>
            <w:r>
              <w:rPr>
                <w:rFonts w:hint="eastAsia" w:ascii="宋体" w:hAnsi="宋体" w:eastAsia="宋体" w:cs="宋体"/>
                <w:color w:val="000000" w:themeColor="text1"/>
                <w:kern w:val="0"/>
                <w:szCs w:val="24"/>
                <w14:textFill>
                  <w14:solidFill>
                    <w14:schemeClr w14:val="tx1"/>
                  </w14:solidFill>
                </w14:textFill>
              </w:rPr>
              <w:t>本</w:t>
            </w:r>
          </w:p>
        </w:tc>
        <w:tc>
          <w:tcPr>
            <w:tcW w:w="2628" w:type="dxa"/>
            <w:gridSpan w:val="3"/>
            <w:tcMar>
              <w:left w:w="28" w:type="dxa"/>
              <w:right w:w="28" w:type="dxa"/>
            </w:tcMar>
            <w:vAlign w:val="center"/>
          </w:tcPr>
          <w:p w14:paraId="1DBED2FD">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290B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8" w:hRule="atLeast"/>
          <w:jc w:val="center"/>
        </w:trPr>
        <w:tc>
          <w:tcPr>
            <w:tcW w:w="1513" w:type="dxa"/>
            <w:tcMar>
              <w:left w:w="28" w:type="dxa"/>
              <w:right w:w="28" w:type="dxa"/>
            </w:tcMar>
            <w:vAlign w:val="center"/>
          </w:tcPr>
          <w:p w14:paraId="53DEABE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企业类</w:t>
            </w:r>
            <w:r>
              <w:rPr>
                <w:rFonts w:hint="eastAsia" w:ascii="宋体" w:hAnsi="宋体" w:eastAsia="宋体" w:cs="宋体"/>
                <w:color w:val="000000" w:themeColor="text1"/>
                <w:kern w:val="0"/>
                <w:szCs w:val="24"/>
                <w14:textFill>
                  <w14:solidFill>
                    <w14:schemeClr w14:val="tx1"/>
                  </w14:solidFill>
                </w14:textFill>
              </w:rPr>
              <w:t>型</w:t>
            </w:r>
          </w:p>
        </w:tc>
        <w:tc>
          <w:tcPr>
            <w:tcW w:w="4459" w:type="dxa"/>
            <w:gridSpan w:val="6"/>
            <w:tcMar>
              <w:left w:w="28" w:type="dxa"/>
              <w:right w:w="28" w:type="dxa"/>
            </w:tcMar>
            <w:vAlign w:val="center"/>
          </w:tcPr>
          <w:p w14:paraId="2DA28236">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1560" w:type="dxa"/>
            <w:tcMar>
              <w:left w:w="28" w:type="dxa"/>
              <w:right w:w="28" w:type="dxa"/>
            </w:tcMar>
            <w:vAlign w:val="center"/>
          </w:tcPr>
          <w:p w14:paraId="40B51282">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成立日</w:t>
            </w:r>
            <w:r>
              <w:rPr>
                <w:rFonts w:hint="eastAsia" w:ascii="宋体" w:hAnsi="宋体" w:eastAsia="宋体" w:cs="宋体"/>
                <w:color w:val="000000" w:themeColor="text1"/>
                <w:kern w:val="0"/>
                <w:szCs w:val="24"/>
                <w14:textFill>
                  <w14:solidFill>
                    <w14:schemeClr w14:val="tx1"/>
                  </w14:solidFill>
                </w14:textFill>
              </w:rPr>
              <w:t>期</w:t>
            </w:r>
          </w:p>
        </w:tc>
        <w:tc>
          <w:tcPr>
            <w:tcW w:w="2628" w:type="dxa"/>
            <w:gridSpan w:val="3"/>
            <w:tcMar>
              <w:left w:w="28" w:type="dxa"/>
              <w:right w:w="28" w:type="dxa"/>
            </w:tcMar>
            <w:vAlign w:val="center"/>
          </w:tcPr>
          <w:p w14:paraId="75EE8E95">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年   月  日</w:t>
            </w:r>
          </w:p>
        </w:tc>
      </w:tr>
      <w:tr w14:paraId="7AD4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6031739D">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总经</w:t>
            </w:r>
            <w:r>
              <w:rPr>
                <w:rFonts w:hint="eastAsia" w:ascii="宋体" w:hAnsi="宋体" w:eastAsia="宋体" w:cs="宋体"/>
                <w:color w:val="000000" w:themeColor="text1"/>
                <w:spacing w:val="1"/>
                <w:kern w:val="0"/>
                <w:szCs w:val="24"/>
                <w14:textFill>
                  <w14:solidFill>
                    <w14:schemeClr w14:val="tx1"/>
                  </w14:solidFill>
                </w14:textFill>
              </w:rPr>
              <w:t>理</w:t>
            </w:r>
          </w:p>
        </w:tc>
        <w:tc>
          <w:tcPr>
            <w:tcW w:w="1482" w:type="dxa"/>
            <w:tcMar>
              <w:left w:w="28" w:type="dxa"/>
              <w:right w:w="28" w:type="dxa"/>
            </w:tcMar>
            <w:vAlign w:val="center"/>
          </w:tcPr>
          <w:p w14:paraId="13B61312">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tcMar>
              <w:left w:w="28" w:type="dxa"/>
              <w:right w:w="28" w:type="dxa"/>
            </w:tcMar>
            <w:vAlign w:val="center"/>
          </w:tcPr>
          <w:p w14:paraId="1111B7ED">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性别</w:t>
            </w:r>
          </w:p>
        </w:tc>
        <w:tc>
          <w:tcPr>
            <w:tcW w:w="1277" w:type="dxa"/>
            <w:gridSpan w:val="2"/>
            <w:tcMar>
              <w:left w:w="28" w:type="dxa"/>
              <w:right w:w="28" w:type="dxa"/>
            </w:tcMar>
            <w:vAlign w:val="center"/>
          </w:tcPr>
          <w:p w14:paraId="47B0E2D4">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3272513D">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p>
        </w:tc>
        <w:tc>
          <w:tcPr>
            <w:tcW w:w="1560" w:type="dxa"/>
            <w:tcMar>
              <w:left w:w="28" w:type="dxa"/>
              <w:right w:w="28" w:type="dxa"/>
            </w:tcMar>
            <w:vAlign w:val="center"/>
          </w:tcPr>
          <w:p w14:paraId="059DF117">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0B5B22DF">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传真</w:t>
            </w:r>
          </w:p>
        </w:tc>
        <w:tc>
          <w:tcPr>
            <w:tcW w:w="1919" w:type="dxa"/>
            <w:tcMar>
              <w:left w:w="28" w:type="dxa"/>
              <w:right w:w="28" w:type="dxa"/>
            </w:tcMar>
            <w:vAlign w:val="center"/>
          </w:tcPr>
          <w:p w14:paraId="1FC12B59">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6CD7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3" w:hRule="atLeast"/>
          <w:jc w:val="center"/>
        </w:trPr>
        <w:tc>
          <w:tcPr>
            <w:tcW w:w="1513" w:type="dxa"/>
            <w:tcMar>
              <w:left w:w="28" w:type="dxa"/>
              <w:right w:w="28" w:type="dxa"/>
            </w:tcMar>
            <w:vAlign w:val="center"/>
          </w:tcPr>
          <w:p w14:paraId="7945937F">
            <w:pPr>
              <w:autoSpaceDE w:val="0"/>
              <w:autoSpaceDN w:val="0"/>
              <w:adjustRightInd w:val="0"/>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公司网址</w:t>
            </w:r>
          </w:p>
        </w:tc>
        <w:tc>
          <w:tcPr>
            <w:tcW w:w="3468" w:type="dxa"/>
            <w:gridSpan w:val="4"/>
            <w:tcMar>
              <w:left w:w="28" w:type="dxa"/>
              <w:right w:w="28" w:type="dxa"/>
            </w:tcMar>
            <w:vAlign w:val="center"/>
          </w:tcPr>
          <w:p w14:paraId="388B46B2">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40CAE480">
            <w:pPr>
              <w:autoSpaceDE w:val="0"/>
              <w:autoSpaceDN w:val="0"/>
              <w:adjustRightInd w:val="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邮箱</w:t>
            </w:r>
          </w:p>
        </w:tc>
        <w:tc>
          <w:tcPr>
            <w:tcW w:w="1560" w:type="dxa"/>
            <w:tcMar>
              <w:left w:w="28" w:type="dxa"/>
              <w:right w:w="28" w:type="dxa"/>
            </w:tcMar>
            <w:vAlign w:val="center"/>
          </w:tcPr>
          <w:p w14:paraId="432E7C38">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307A97FD">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邮编</w:t>
            </w:r>
          </w:p>
        </w:tc>
        <w:tc>
          <w:tcPr>
            <w:tcW w:w="1919" w:type="dxa"/>
            <w:tcMar>
              <w:left w:w="28" w:type="dxa"/>
              <w:right w:w="28" w:type="dxa"/>
            </w:tcMar>
            <w:vAlign w:val="center"/>
          </w:tcPr>
          <w:p w14:paraId="59E414D8">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3BEB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0FF8A30F">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职工人</w:t>
            </w:r>
            <w:r>
              <w:rPr>
                <w:rFonts w:hint="eastAsia" w:ascii="宋体" w:hAnsi="宋体" w:eastAsia="宋体" w:cs="宋体"/>
                <w:color w:val="000000" w:themeColor="text1"/>
                <w:kern w:val="0"/>
                <w:szCs w:val="24"/>
                <w14:textFill>
                  <w14:solidFill>
                    <w14:schemeClr w14:val="tx1"/>
                  </w14:solidFill>
                </w14:textFill>
              </w:rPr>
              <w:t>数</w:t>
            </w:r>
          </w:p>
        </w:tc>
        <w:tc>
          <w:tcPr>
            <w:tcW w:w="8647" w:type="dxa"/>
            <w:gridSpan w:val="10"/>
            <w:tcMar>
              <w:left w:w="28" w:type="dxa"/>
              <w:right w:w="28" w:type="dxa"/>
            </w:tcMar>
            <w:vAlign w:val="center"/>
          </w:tcPr>
          <w:p w14:paraId="4C02AEC1">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总共     人，其中高级职称：   人，中级职称：      人，</w:t>
            </w:r>
            <w:r>
              <w:rPr>
                <w:rFonts w:hint="eastAsia" w:ascii="宋体" w:hAnsi="宋体" w:eastAsia="宋体" w:cs="宋体"/>
                <w:color w:val="000000" w:themeColor="text1"/>
                <w:spacing w:val="-6"/>
                <w:szCs w:val="24"/>
                <w14:textFill>
                  <w14:solidFill>
                    <w14:schemeClr w14:val="tx1"/>
                  </w14:solidFill>
                </w14:textFill>
              </w:rPr>
              <w:t>生产线人数：</w:t>
            </w:r>
          </w:p>
        </w:tc>
      </w:tr>
      <w:tr w14:paraId="1BE4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tcPr>
          <w:p w14:paraId="272F66D5">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厂 房 面 积</w:t>
            </w:r>
          </w:p>
        </w:tc>
        <w:tc>
          <w:tcPr>
            <w:tcW w:w="3148" w:type="dxa"/>
            <w:gridSpan w:val="3"/>
            <w:tcMar>
              <w:left w:w="28" w:type="dxa"/>
              <w:right w:w="28" w:type="dxa"/>
            </w:tcMar>
          </w:tcPr>
          <w:p w14:paraId="043BBDAF">
            <w:pPr>
              <w:spacing w:before="120" w:after="120"/>
              <w:rPr>
                <w:rFonts w:ascii="宋体" w:hAnsi="宋体" w:eastAsia="宋体" w:cs="宋体"/>
                <w:color w:val="000000" w:themeColor="text1"/>
                <w:spacing w:val="-6"/>
                <w:szCs w:val="24"/>
                <w14:textFill>
                  <w14:solidFill>
                    <w14:schemeClr w14:val="tx1"/>
                  </w14:solidFill>
                </w14:textFill>
              </w:rPr>
            </w:pPr>
          </w:p>
        </w:tc>
        <w:tc>
          <w:tcPr>
            <w:tcW w:w="1260" w:type="dxa"/>
            <w:gridSpan w:val="2"/>
          </w:tcPr>
          <w:p w14:paraId="62827104">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是否租赁：□是□否</w:t>
            </w:r>
          </w:p>
        </w:tc>
        <w:tc>
          <w:tcPr>
            <w:tcW w:w="1842" w:type="dxa"/>
            <w:gridSpan w:val="3"/>
          </w:tcPr>
          <w:p w14:paraId="40439DDB">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主要产品</w:t>
            </w:r>
          </w:p>
        </w:tc>
        <w:tc>
          <w:tcPr>
            <w:tcW w:w="2397" w:type="dxa"/>
            <w:gridSpan w:val="2"/>
          </w:tcPr>
          <w:p w14:paraId="3AC2C24E">
            <w:pPr>
              <w:spacing w:before="120" w:after="120"/>
              <w:rPr>
                <w:rFonts w:ascii="宋体" w:hAnsi="宋体" w:eastAsia="宋体" w:cs="宋体"/>
                <w:color w:val="000000" w:themeColor="text1"/>
                <w:spacing w:val="-6"/>
                <w:szCs w:val="24"/>
                <w14:textFill>
                  <w14:solidFill>
                    <w14:schemeClr w14:val="tx1"/>
                  </w14:solidFill>
                </w14:textFill>
              </w:rPr>
            </w:pPr>
          </w:p>
        </w:tc>
      </w:tr>
      <w:tr w14:paraId="4CEC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64" w:hRule="atLeast"/>
          <w:jc w:val="center"/>
        </w:trPr>
        <w:tc>
          <w:tcPr>
            <w:tcW w:w="1513" w:type="dxa"/>
            <w:shd w:val="solid" w:color="FFFFFF" w:fill="auto"/>
            <w:tcMar>
              <w:left w:w="28" w:type="dxa"/>
              <w:right w:w="28" w:type="dxa"/>
            </w:tcMar>
            <w:vAlign w:val="center"/>
          </w:tcPr>
          <w:p w14:paraId="0644C958">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营业</w:t>
            </w:r>
            <w:r>
              <w:rPr>
                <w:rFonts w:hint="eastAsia" w:ascii="宋体" w:hAnsi="宋体" w:eastAsia="宋体" w:cs="宋体"/>
                <w:color w:val="000000" w:themeColor="text1"/>
                <w:spacing w:val="1"/>
                <w:kern w:val="0"/>
                <w:szCs w:val="24"/>
                <w14:textFill>
                  <w14:solidFill>
                    <w14:schemeClr w14:val="tx1"/>
                  </w14:solidFill>
                </w14:textFill>
              </w:rPr>
              <w:t>额</w:t>
            </w:r>
          </w:p>
        </w:tc>
        <w:tc>
          <w:tcPr>
            <w:tcW w:w="8647" w:type="dxa"/>
            <w:gridSpan w:val="10"/>
            <w:tcMar>
              <w:left w:w="28" w:type="dxa"/>
              <w:right w:w="28" w:type="dxa"/>
            </w:tcMar>
            <w:vAlign w:val="center"/>
          </w:tcPr>
          <w:p w14:paraId="73E2007B">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近三年营业额：</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 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万元</w:t>
            </w:r>
          </w:p>
        </w:tc>
      </w:tr>
      <w:tr w14:paraId="790E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38" w:hRule="atLeast"/>
          <w:jc w:val="center"/>
        </w:trPr>
        <w:tc>
          <w:tcPr>
            <w:tcW w:w="1513" w:type="dxa"/>
            <w:shd w:val="solid" w:color="FFFFFF" w:fill="auto"/>
            <w:tcMar>
              <w:left w:w="28" w:type="dxa"/>
              <w:right w:w="28" w:type="dxa"/>
            </w:tcMar>
            <w:vAlign w:val="center"/>
          </w:tcPr>
          <w:p w14:paraId="65023AD2">
            <w:pPr>
              <w:autoSpaceDE w:val="0"/>
              <w:autoSpaceDN w:val="0"/>
              <w:adjustRightInd w:val="0"/>
              <w:jc w:val="center"/>
              <w:rPr>
                <w:rFonts w:ascii="宋体" w:hAnsi="宋体" w:eastAsia="宋体" w:cs="宋体"/>
                <w:bCs/>
                <w:iCs/>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经营范</w:t>
            </w:r>
            <w:r>
              <w:rPr>
                <w:rFonts w:hint="eastAsia" w:ascii="宋体" w:hAnsi="宋体" w:eastAsia="宋体" w:cs="宋体"/>
                <w:color w:val="000000" w:themeColor="text1"/>
                <w:kern w:val="0"/>
                <w:szCs w:val="24"/>
                <w14:textFill>
                  <w14:solidFill>
                    <w14:schemeClr w14:val="tx1"/>
                  </w14:solidFill>
                </w14:textFill>
              </w:rPr>
              <w:t>围</w:t>
            </w:r>
          </w:p>
        </w:tc>
        <w:tc>
          <w:tcPr>
            <w:tcW w:w="8647" w:type="dxa"/>
            <w:gridSpan w:val="10"/>
            <w:tcMar>
              <w:left w:w="28" w:type="dxa"/>
              <w:right w:w="28" w:type="dxa"/>
            </w:tcMar>
            <w:vAlign w:val="center"/>
          </w:tcPr>
          <w:p w14:paraId="33405761">
            <w:pPr>
              <w:autoSpaceDE w:val="0"/>
              <w:autoSpaceDN w:val="0"/>
              <w:adjustRightInd w:val="0"/>
              <w:rPr>
                <w:rFonts w:ascii="宋体" w:hAnsi="宋体" w:eastAsia="宋体" w:cs="宋体"/>
                <w:bCs/>
                <w:color w:val="000000" w:themeColor="text1"/>
                <w:szCs w:val="24"/>
                <w14:textFill>
                  <w14:solidFill>
                    <w14:schemeClr w14:val="tx1"/>
                  </w14:solidFill>
                </w14:textFill>
              </w:rPr>
            </w:pPr>
          </w:p>
        </w:tc>
      </w:tr>
      <w:tr w14:paraId="46C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85" w:hRule="atLeast"/>
          <w:jc w:val="center"/>
        </w:trPr>
        <w:tc>
          <w:tcPr>
            <w:tcW w:w="1513" w:type="dxa"/>
            <w:vMerge w:val="restart"/>
            <w:shd w:val="solid" w:color="FFFFFF" w:fill="auto"/>
            <w:tcMar>
              <w:left w:w="28" w:type="dxa"/>
              <w:right w:w="28" w:type="dxa"/>
            </w:tcMar>
            <w:vAlign w:val="center"/>
          </w:tcPr>
          <w:p w14:paraId="723B5E05">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后附资料</w:t>
            </w:r>
          </w:p>
        </w:tc>
        <w:tc>
          <w:tcPr>
            <w:tcW w:w="8647" w:type="dxa"/>
            <w:gridSpan w:val="10"/>
            <w:tcMar>
              <w:left w:w="28" w:type="dxa"/>
              <w:right w:w="28" w:type="dxa"/>
            </w:tcMar>
            <w:vAlign w:val="center"/>
          </w:tcPr>
          <w:p w14:paraId="2F7B8290">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公司简介</w:t>
            </w:r>
          </w:p>
        </w:tc>
      </w:tr>
      <w:tr w14:paraId="341E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7" w:hRule="atLeast"/>
          <w:jc w:val="center"/>
        </w:trPr>
        <w:tc>
          <w:tcPr>
            <w:tcW w:w="1513" w:type="dxa"/>
            <w:vMerge w:val="continue"/>
            <w:shd w:val="solid" w:color="FFFFFF" w:fill="auto"/>
            <w:tcMar>
              <w:left w:w="28" w:type="dxa"/>
              <w:right w:w="28" w:type="dxa"/>
            </w:tcMar>
            <w:vAlign w:val="center"/>
          </w:tcPr>
          <w:p w14:paraId="63DF2432">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0E9605FB">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营业执照</w:t>
            </w:r>
          </w:p>
        </w:tc>
      </w:tr>
      <w:tr w14:paraId="6DC5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18" w:hRule="atLeast"/>
          <w:jc w:val="center"/>
        </w:trPr>
        <w:tc>
          <w:tcPr>
            <w:tcW w:w="1513" w:type="dxa"/>
            <w:vMerge w:val="continue"/>
            <w:shd w:val="solid" w:color="FFFFFF" w:fill="auto"/>
            <w:tcMar>
              <w:left w:w="28" w:type="dxa"/>
              <w:right w:w="28" w:type="dxa"/>
            </w:tcMar>
            <w:vAlign w:val="center"/>
          </w:tcPr>
          <w:p w14:paraId="6CBCC5FE">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31020910">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质量管理体系认证证书、环境管理体系认证证书、职业健康安全管理体系认证证书</w:t>
            </w:r>
          </w:p>
        </w:tc>
      </w:tr>
    </w:tbl>
    <w:p w14:paraId="14A3AB92">
      <w:pPr>
        <w:snapToGrid w:val="0"/>
        <w:spacing w:line="580" w:lineRule="exact"/>
        <w:jc w:val="left"/>
        <w:rPr>
          <w:rFonts w:ascii="宋体" w:hAnsi="宋体" w:eastAsia="宋体" w:cs="宋体"/>
          <w:color w:val="000000" w:themeColor="text1"/>
          <w:szCs w:val="24"/>
          <w14:textFill>
            <w14:solidFill>
              <w14:schemeClr w14:val="tx1"/>
            </w14:solidFill>
          </w14:textFill>
        </w:rPr>
        <w:sectPr>
          <w:headerReference r:id="rId12" w:type="default"/>
          <w:footerReference r:id="rId13" w:type="default"/>
          <w:pgSz w:w="11907" w:h="16840"/>
          <w:pgMar w:top="1418" w:right="1418" w:bottom="1418" w:left="1418" w:header="851" w:footer="680" w:gutter="0"/>
          <w:pgNumType w:fmt="decimal"/>
          <w:cols w:space="425" w:num="1"/>
          <w:titlePg/>
          <w:docGrid w:linePitch="536" w:charSpace="7143"/>
        </w:sectPr>
      </w:pPr>
    </w:p>
    <w:p w14:paraId="132F6237">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附录5-2-2投标人的资质证明文件</w:t>
      </w:r>
    </w:p>
    <w:p w14:paraId="0416C635">
      <w:pPr>
        <w:spacing w:line="580" w:lineRule="exact"/>
        <w:rPr>
          <w:rFonts w:ascii="宋体" w:hAnsi="宋体" w:eastAsia="宋体" w:cs="宋体"/>
          <w:b/>
          <w:color w:val="000000" w:themeColor="text1"/>
          <w:sz w:val="21"/>
          <w:szCs w:val="21"/>
          <w14:textFill>
            <w14:solidFill>
              <w14:schemeClr w14:val="tx1"/>
            </w14:solidFill>
          </w14:textFill>
        </w:rPr>
      </w:pPr>
    </w:p>
    <w:p w14:paraId="75EC321C">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附录5-2-3主要人员简历</w:t>
      </w:r>
    </w:p>
    <w:p w14:paraId="0F2425F5">
      <w:pPr>
        <w:snapToGrid w:val="0"/>
        <w:spacing w:line="580" w:lineRule="exact"/>
        <w:ind w:firstLine="316" w:firstLineChars="150"/>
        <w:jc w:val="left"/>
        <w:rPr>
          <w:rFonts w:ascii="宋体" w:hAnsi="宋体" w:eastAsia="宋体" w:cs="宋体"/>
          <w:b/>
          <w:color w:val="000000" w:themeColor="text1"/>
          <w:sz w:val="21"/>
          <w:szCs w:val="21"/>
          <w14:textFill>
            <w14:solidFill>
              <w14:schemeClr w14:val="tx1"/>
            </w14:solidFill>
          </w14:textFill>
        </w:rPr>
      </w:pPr>
    </w:p>
    <w:p w14:paraId="3C196860">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项目组织架构</w:t>
      </w:r>
    </w:p>
    <w:tbl>
      <w:tblPr>
        <w:tblStyle w:val="48"/>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264"/>
        <w:gridCol w:w="1621"/>
        <w:gridCol w:w="960"/>
        <w:gridCol w:w="2392"/>
      </w:tblGrid>
      <w:tr w14:paraId="453C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828" w:type="dxa"/>
            <w:vAlign w:val="center"/>
          </w:tcPr>
          <w:p w14:paraId="1E08DE7C">
            <w:pPr>
              <w:pStyle w:val="18"/>
              <w:keepNext/>
              <w:spacing w:line="320" w:lineRule="exact"/>
              <w:ind w:left="560" w:right="62" w:hanging="56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名    称</w:t>
            </w:r>
          </w:p>
        </w:tc>
        <w:tc>
          <w:tcPr>
            <w:tcW w:w="1264" w:type="dxa"/>
            <w:vAlign w:val="center"/>
          </w:tcPr>
          <w:p w14:paraId="250866E9">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职务</w:t>
            </w:r>
          </w:p>
        </w:tc>
        <w:tc>
          <w:tcPr>
            <w:tcW w:w="1621" w:type="dxa"/>
            <w:vAlign w:val="center"/>
          </w:tcPr>
          <w:p w14:paraId="37194F8D">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职称</w:t>
            </w:r>
          </w:p>
          <w:p w14:paraId="51599680">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资格证书编号</w:t>
            </w:r>
          </w:p>
        </w:tc>
        <w:tc>
          <w:tcPr>
            <w:tcW w:w="960" w:type="dxa"/>
          </w:tcPr>
          <w:p w14:paraId="2A809998">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就职单位</w:t>
            </w:r>
          </w:p>
        </w:tc>
        <w:tc>
          <w:tcPr>
            <w:tcW w:w="2392" w:type="dxa"/>
            <w:vAlign w:val="center"/>
          </w:tcPr>
          <w:p w14:paraId="082909BB">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主要资历、经验及承担过的项目</w:t>
            </w:r>
          </w:p>
        </w:tc>
      </w:tr>
      <w:tr w14:paraId="7DFD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62E94CB3">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6E23D0E8">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项目负责人</w:t>
            </w:r>
          </w:p>
        </w:tc>
        <w:tc>
          <w:tcPr>
            <w:tcW w:w="1621" w:type="dxa"/>
            <w:vAlign w:val="center"/>
          </w:tcPr>
          <w:p w14:paraId="2A5F8410">
            <w:pPr>
              <w:pStyle w:val="18"/>
              <w:keepNext/>
              <w:tabs>
                <w:tab w:val="left" w:pos="630"/>
              </w:tabs>
              <w:spacing w:line="440" w:lineRule="exact"/>
              <w:ind w:left="838" w:leftChars="104" w:right="63" w:hanging="588" w:hangingChars="280"/>
              <w:rPr>
                <w:rFonts w:cs="宋体"/>
                <w:color w:val="000000" w:themeColor="text1"/>
                <w:sz w:val="21"/>
                <w:szCs w:val="21"/>
                <w14:textFill>
                  <w14:solidFill>
                    <w14:schemeClr w14:val="tx1"/>
                  </w14:solidFill>
                </w14:textFill>
              </w:rPr>
            </w:pPr>
          </w:p>
        </w:tc>
        <w:tc>
          <w:tcPr>
            <w:tcW w:w="960" w:type="dxa"/>
          </w:tcPr>
          <w:p w14:paraId="13F3F92A">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6B78DD27">
            <w:pPr>
              <w:pStyle w:val="18"/>
              <w:keepNext/>
              <w:spacing w:line="440" w:lineRule="exact"/>
              <w:ind w:right="63"/>
              <w:rPr>
                <w:rFonts w:cs="宋体"/>
                <w:color w:val="000000" w:themeColor="text1"/>
                <w:sz w:val="21"/>
                <w:szCs w:val="21"/>
                <w14:textFill>
                  <w14:solidFill>
                    <w14:schemeClr w14:val="tx1"/>
                  </w14:solidFill>
                </w14:textFill>
              </w:rPr>
            </w:pPr>
          </w:p>
        </w:tc>
      </w:tr>
      <w:tr w14:paraId="188A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1A08C722">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13C99CB3">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操作人员</w:t>
            </w:r>
          </w:p>
        </w:tc>
        <w:tc>
          <w:tcPr>
            <w:tcW w:w="1621" w:type="dxa"/>
            <w:vAlign w:val="center"/>
          </w:tcPr>
          <w:p w14:paraId="179CCA6D">
            <w:pPr>
              <w:pStyle w:val="18"/>
              <w:keepNext/>
              <w:spacing w:line="440" w:lineRule="exact"/>
              <w:ind w:right="63"/>
              <w:jc w:val="center"/>
              <w:rPr>
                <w:rFonts w:cs="宋体"/>
                <w:color w:val="000000" w:themeColor="text1"/>
                <w:sz w:val="21"/>
                <w:szCs w:val="21"/>
                <w14:textFill>
                  <w14:solidFill>
                    <w14:schemeClr w14:val="tx1"/>
                  </w14:solidFill>
                </w14:textFill>
              </w:rPr>
            </w:pPr>
          </w:p>
        </w:tc>
        <w:tc>
          <w:tcPr>
            <w:tcW w:w="960" w:type="dxa"/>
          </w:tcPr>
          <w:p w14:paraId="7779BB51">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4A49B4D3">
            <w:pPr>
              <w:pStyle w:val="18"/>
              <w:keepNext/>
              <w:spacing w:line="440" w:lineRule="exact"/>
              <w:ind w:right="63"/>
              <w:rPr>
                <w:rFonts w:cs="宋体"/>
                <w:color w:val="000000" w:themeColor="text1"/>
                <w:sz w:val="21"/>
                <w:szCs w:val="21"/>
                <w14:textFill>
                  <w14:solidFill>
                    <w14:schemeClr w14:val="tx1"/>
                  </w14:solidFill>
                </w14:textFill>
              </w:rPr>
            </w:pPr>
          </w:p>
        </w:tc>
      </w:tr>
      <w:tr w14:paraId="7425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25383DE6">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26EC8445">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安全员</w:t>
            </w:r>
          </w:p>
        </w:tc>
        <w:tc>
          <w:tcPr>
            <w:tcW w:w="1621" w:type="dxa"/>
            <w:vAlign w:val="center"/>
          </w:tcPr>
          <w:p w14:paraId="290D780B">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46E67D4B">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7CC08D57">
            <w:pPr>
              <w:pStyle w:val="18"/>
              <w:keepNext/>
              <w:spacing w:line="440" w:lineRule="exact"/>
              <w:ind w:right="63"/>
              <w:rPr>
                <w:rFonts w:cs="宋体"/>
                <w:color w:val="000000" w:themeColor="text1"/>
                <w:sz w:val="21"/>
                <w:szCs w:val="21"/>
                <w14:textFill>
                  <w14:solidFill>
                    <w14:schemeClr w14:val="tx1"/>
                  </w14:solidFill>
                </w14:textFill>
              </w:rPr>
            </w:pPr>
          </w:p>
        </w:tc>
      </w:tr>
      <w:tr w14:paraId="78E2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2033117A">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0D096C64">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资料员</w:t>
            </w:r>
          </w:p>
        </w:tc>
        <w:tc>
          <w:tcPr>
            <w:tcW w:w="1621" w:type="dxa"/>
            <w:vAlign w:val="center"/>
          </w:tcPr>
          <w:p w14:paraId="3CEE87C2">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5843F655">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3F9DEF99">
            <w:pPr>
              <w:pStyle w:val="18"/>
              <w:keepNext/>
              <w:spacing w:line="440" w:lineRule="exact"/>
              <w:ind w:right="63"/>
              <w:rPr>
                <w:rFonts w:cs="宋体"/>
                <w:color w:val="000000" w:themeColor="text1"/>
                <w:sz w:val="21"/>
                <w:szCs w:val="21"/>
                <w14:textFill>
                  <w14:solidFill>
                    <w14:schemeClr w14:val="tx1"/>
                  </w14:solidFill>
                </w14:textFill>
              </w:rPr>
            </w:pPr>
          </w:p>
        </w:tc>
      </w:tr>
    </w:tbl>
    <w:p w14:paraId="120AE07F">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62B4336C">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250D28EA">
      <w:pPr>
        <w:snapToGrid w:val="0"/>
        <w:spacing w:line="580" w:lineRule="exact"/>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2805"/>
        <w:gridCol w:w="1336"/>
        <w:gridCol w:w="2446"/>
      </w:tblGrid>
      <w:tr w14:paraId="492B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DC75E5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2805" w:type="dxa"/>
            <w:tcBorders>
              <w:top w:val="single" w:color="auto" w:sz="6" w:space="0"/>
              <w:left w:val="single" w:color="auto" w:sz="6" w:space="0"/>
              <w:bottom w:val="single" w:color="auto" w:sz="6" w:space="0"/>
              <w:right w:val="single" w:color="auto" w:sz="6" w:space="0"/>
            </w:tcBorders>
            <w:vAlign w:val="center"/>
          </w:tcPr>
          <w:p w14:paraId="68F37F25">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5B23194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117B82DE">
            <w:pPr>
              <w:spacing w:line="360" w:lineRule="auto"/>
              <w:rPr>
                <w:rFonts w:ascii="宋体" w:hAnsi="宋体" w:eastAsia="宋体" w:cs="宋体"/>
                <w:color w:val="000000" w:themeColor="text1"/>
                <w:sz w:val="21"/>
                <w:szCs w:val="21"/>
                <w14:textFill>
                  <w14:solidFill>
                    <w14:schemeClr w14:val="tx1"/>
                  </w14:solidFill>
                </w14:textFill>
              </w:rPr>
            </w:pPr>
          </w:p>
        </w:tc>
      </w:tr>
      <w:tr w14:paraId="46B3F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E10CD8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w:t>
            </w:r>
          </w:p>
        </w:tc>
        <w:tc>
          <w:tcPr>
            <w:tcW w:w="2805" w:type="dxa"/>
            <w:tcBorders>
              <w:top w:val="single" w:color="auto" w:sz="6" w:space="0"/>
              <w:left w:val="single" w:color="auto" w:sz="6" w:space="0"/>
              <w:bottom w:val="single" w:color="auto" w:sz="6" w:space="0"/>
              <w:right w:val="single" w:color="auto" w:sz="6" w:space="0"/>
            </w:tcBorders>
            <w:vAlign w:val="center"/>
          </w:tcPr>
          <w:p w14:paraId="0E894252">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4DA62C0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490A27AB">
            <w:pPr>
              <w:spacing w:line="360" w:lineRule="auto"/>
              <w:rPr>
                <w:rFonts w:ascii="宋体" w:hAnsi="宋体" w:eastAsia="宋体" w:cs="宋体"/>
                <w:color w:val="000000" w:themeColor="text1"/>
                <w:sz w:val="21"/>
                <w:szCs w:val="21"/>
                <w14:textFill>
                  <w14:solidFill>
                    <w14:schemeClr w14:val="tx1"/>
                  </w14:solidFill>
                </w14:textFill>
              </w:rPr>
            </w:pPr>
          </w:p>
        </w:tc>
      </w:tr>
      <w:tr w14:paraId="0B5A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488C416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籍贯</w:t>
            </w:r>
          </w:p>
        </w:tc>
        <w:tc>
          <w:tcPr>
            <w:tcW w:w="2805" w:type="dxa"/>
            <w:tcBorders>
              <w:top w:val="single" w:color="auto" w:sz="6" w:space="0"/>
              <w:left w:val="single" w:color="auto" w:sz="6" w:space="0"/>
              <w:bottom w:val="single" w:color="auto" w:sz="6" w:space="0"/>
              <w:right w:val="single" w:color="auto" w:sz="6" w:space="0"/>
            </w:tcBorders>
            <w:vAlign w:val="center"/>
          </w:tcPr>
          <w:p w14:paraId="2C7851A9">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433CF15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7B01C837">
            <w:pPr>
              <w:spacing w:line="360" w:lineRule="auto"/>
              <w:rPr>
                <w:rFonts w:ascii="宋体" w:hAnsi="宋体" w:eastAsia="宋体" w:cs="宋体"/>
                <w:color w:val="000000" w:themeColor="text1"/>
                <w:sz w:val="21"/>
                <w:szCs w:val="21"/>
                <w14:textFill>
                  <w14:solidFill>
                    <w14:schemeClr w14:val="tx1"/>
                  </w14:solidFill>
                </w14:textFill>
              </w:rPr>
            </w:pPr>
          </w:p>
        </w:tc>
      </w:tr>
      <w:tr w14:paraId="2685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2EE2251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职称</w:t>
            </w:r>
          </w:p>
        </w:tc>
        <w:tc>
          <w:tcPr>
            <w:tcW w:w="2805" w:type="dxa"/>
            <w:tcBorders>
              <w:top w:val="single" w:color="auto" w:sz="6" w:space="0"/>
              <w:left w:val="single" w:color="auto" w:sz="6" w:space="0"/>
              <w:bottom w:val="single" w:color="auto" w:sz="6" w:space="0"/>
              <w:right w:val="single" w:color="auto" w:sz="6" w:space="0"/>
            </w:tcBorders>
            <w:vAlign w:val="center"/>
          </w:tcPr>
          <w:p w14:paraId="71159F2F">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5FE51F9F">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w:t>
            </w:r>
          </w:p>
        </w:tc>
        <w:tc>
          <w:tcPr>
            <w:tcW w:w="2444" w:type="dxa"/>
            <w:tcBorders>
              <w:top w:val="single" w:color="auto" w:sz="6" w:space="0"/>
              <w:left w:val="single" w:color="auto" w:sz="6" w:space="0"/>
              <w:bottom w:val="single" w:color="auto" w:sz="6" w:space="0"/>
              <w:right w:val="single" w:color="auto" w:sz="6" w:space="0"/>
            </w:tcBorders>
            <w:vAlign w:val="center"/>
          </w:tcPr>
          <w:p w14:paraId="740847C0">
            <w:pPr>
              <w:spacing w:line="360" w:lineRule="auto"/>
              <w:rPr>
                <w:rFonts w:ascii="宋体" w:hAnsi="宋体" w:eastAsia="宋体" w:cs="宋体"/>
                <w:color w:val="000000" w:themeColor="text1"/>
                <w:sz w:val="21"/>
                <w:szCs w:val="21"/>
                <w14:textFill>
                  <w14:solidFill>
                    <w14:schemeClr w14:val="tx1"/>
                  </w14:solidFill>
                </w14:textFill>
              </w:rPr>
            </w:pPr>
          </w:p>
        </w:tc>
      </w:tr>
      <w:tr w14:paraId="725E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93A6366">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2805" w:type="dxa"/>
            <w:tcBorders>
              <w:top w:val="single" w:color="auto" w:sz="6" w:space="0"/>
              <w:left w:val="single" w:color="auto" w:sz="6" w:space="0"/>
              <w:bottom w:val="single" w:color="auto" w:sz="6" w:space="0"/>
              <w:right w:val="single" w:color="auto" w:sz="6" w:space="0"/>
            </w:tcBorders>
            <w:vAlign w:val="center"/>
          </w:tcPr>
          <w:p w14:paraId="184AC026">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12962F4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邮箱</w:t>
            </w:r>
          </w:p>
        </w:tc>
        <w:tc>
          <w:tcPr>
            <w:tcW w:w="2444" w:type="dxa"/>
            <w:tcBorders>
              <w:top w:val="single" w:color="auto" w:sz="6" w:space="0"/>
              <w:left w:val="single" w:color="auto" w:sz="6" w:space="0"/>
              <w:bottom w:val="single" w:color="auto" w:sz="6" w:space="0"/>
              <w:right w:val="single" w:color="auto" w:sz="6" w:space="0"/>
            </w:tcBorders>
            <w:vAlign w:val="center"/>
          </w:tcPr>
          <w:p w14:paraId="1DC6F2E4">
            <w:pPr>
              <w:spacing w:line="360" w:lineRule="auto"/>
              <w:rPr>
                <w:rFonts w:ascii="宋体" w:hAnsi="宋体" w:eastAsia="宋体" w:cs="宋体"/>
                <w:color w:val="000000" w:themeColor="text1"/>
                <w:sz w:val="21"/>
                <w:szCs w:val="21"/>
                <w14:textFill>
                  <w14:solidFill>
                    <w14:schemeClr w14:val="tx1"/>
                  </w14:solidFill>
                </w14:textFill>
              </w:rPr>
            </w:pPr>
          </w:p>
        </w:tc>
      </w:tr>
      <w:tr w14:paraId="1086B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008BB9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经历概要</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04F864B9">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20**-20**年，在****公司工作，担任职务，项目业绩情况</w:t>
            </w:r>
          </w:p>
          <w:p w14:paraId="21DDD953">
            <w:pPr>
              <w:spacing w:line="360" w:lineRule="auto"/>
              <w:rPr>
                <w:rFonts w:ascii="宋体" w:hAnsi="宋体" w:eastAsia="宋体" w:cs="宋体"/>
                <w:color w:val="000000" w:themeColor="text1"/>
                <w:sz w:val="21"/>
                <w:szCs w:val="21"/>
                <w14:textFill>
                  <w14:solidFill>
                    <w14:schemeClr w14:val="tx1"/>
                  </w14:solidFill>
                </w14:textFill>
              </w:rPr>
            </w:pPr>
          </w:p>
        </w:tc>
      </w:tr>
      <w:tr w14:paraId="2273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5C95ABD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业绩经验</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51301A9B">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项目名称、分项工程，项目规模，主要职责</w:t>
            </w:r>
          </w:p>
        </w:tc>
      </w:tr>
    </w:tbl>
    <w:p w14:paraId="2E230CE6">
      <w:pPr>
        <w:snapToGrid w:val="0"/>
        <w:spacing w:line="580" w:lineRule="exact"/>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附建造师资格证书及近三个月社保证明</w:t>
      </w:r>
    </w:p>
    <w:p w14:paraId="2E7EE156">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附录5-2-4售后维修质量保障方案</w:t>
      </w:r>
    </w:p>
    <w:p w14:paraId="66D8EBB3">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附录5-2-5 近三年财务审计报表</w:t>
      </w:r>
    </w:p>
    <w:p w14:paraId="475D9F9C">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近三年财务状况及其审计报告</w:t>
      </w:r>
    </w:p>
    <w:p w14:paraId="58C2FA3A">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投标人应</w:t>
      </w:r>
      <w:r>
        <w:rPr>
          <w:rFonts w:hint="eastAsia" w:ascii="宋体" w:hAnsi="宋体" w:eastAsia="宋体" w:cs="宋体"/>
          <w:bCs/>
          <w:color w:val="000000" w:themeColor="text1"/>
          <w:sz w:val="21"/>
          <w:szCs w:val="21"/>
          <w14:textFill>
            <w14:solidFill>
              <w14:schemeClr w14:val="tx1"/>
            </w14:solidFill>
          </w14:textFill>
        </w:rPr>
        <w:t>如实填写财务状况表，并提供文件要求的财务状况资料)</w:t>
      </w:r>
    </w:p>
    <w:p w14:paraId="41E9A118">
      <w:pPr>
        <w:ind w:left="-2" w:leftChars="-1"/>
        <w:jc w:val="center"/>
        <w:rPr>
          <w:rFonts w:ascii="宋体" w:hAnsi="宋体" w:eastAsia="宋体" w:cs="宋体"/>
          <w:bCs/>
          <w:color w:val="000000" w:themeColor="text1"/>
          <w:sz w:val="21"/>
          <w:szCs w:val="21"/>
          <w14:textFill>
            <w14:solidFill>
              <w14:schemeClr w14:val="tx1"/>
            </w14:solidFill>
          </w14:textFill>
        </w:rPr>
      </w:pPr>
    </w:p>
    <w:p w14:paraId="2FC0CFD1">
      <w:pPr>
        <w:spacing w:after="120" w:afterLines="50"/>
        <w:ind w:left="-2" w:leftChars="-1"/>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财务状况表</w:t>
      </w:r>
    </w:p>
    <w:tbl>
      <w:tblPr>
        <w:tblStyle w:val="48"/>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7042"/>
      </w:tblGrid>
      <w:tr w14:paraId="641CF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9286" w:type="dxa"/>
            <w:gridSpan w:val="2"/>
            <w:vAlign w:val="center"/>
          </w:tcPr>
          <w:p w14:paraId="280EE68C">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企业名称：</w:t>
            </w:r>
          </w:p>
        </w:tc>
      </w:tr>
      <w:tr w14:paraId="66745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5658075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开户银行</w:t>
            </w:r>
          </w:p>
        </w:tc>
        <w:tc>
          <w:tcPr>
            <w:tcW w:w="7042" w:type="dxa"/>
          </w:tcPr>
          <w:p w14:paraId="47B0726F">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名称：</w:t>
            </w:r>
          </w:p>
        </w:tc>
      </w:tr>
      <w:tr w14:paraId="0D84B3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0D5BD7C5">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3AC0FC17">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r>
      <w:tr w14:paraId="426B35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6EACB187">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38428888">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电话/传真：</w:t>
            </w:r>
          </w:p>
        </w:tc>
      </w:tr>
      <w:tr w14:paraId="3AEA9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58066872">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1E7215E0">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联系人/职务：</w:t>
            </w:r>
          </w:p>
        </w:tc>
      </w:tr>
      <w:tr w14:paraId="7F851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66AA281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w:t>
            </w:r>
          </w:p>
        </w:tc>
        <w:tc>
          <w:tcPr>
            <w:tcW w:w="7042" w:type="dxa"/>
          </w:tcPr>
          <w:p w14:paraId="2D9CF2EE">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FF0000"/>
                <w:sz w:val="21"/>
                <w:szCs w:val="21"/>
              </w:rPr>
              <w:t>近三年</w:t>
            </w:r>
          </w:p>
        </w:tc>
      </w:tr>
      <w:tr w14:paraId="10433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5" w:hRule="atLeast"/>
        </w:trPr>
        <w:tc>
          <w:tcPr>
            <w:tcW w:w="2244" w:type="dxa"/>
            <w:vMerge w:val="continue"/>
          </w:tcPr>
          <w:p w14:paraId="006FEF94">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4A05979D">
            <w:pPr>
              <w:spacing w:line="276" w:lineRule="auto"/>
              <w:jc w:val="center"/>
              <w:rPr>
                <w:rFonts w:ascii="宋体" w:hAnsi="宋体" w:eastAsia="宋体" w:cs="宋体"/>
                <w:bCs/>
                <w:color w:val="000000" w:themeColor="text1"/>
                <w:sz w:val="21"/>
                <w:szCs w:val="21"/>
                <w14:textFill>
                  <w14:solidFill>
                    <w14:schemeClr w14:val="tx1"/>
                  </w14:solidFill>
                </w14:textFill>
              </w:rPr>
            </w:pPr>
          </w:p>
        </w:tc>
      </w:tr>
      <w:tr w14:paraId="6EE6E5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FA1B1B0">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营业额</w:t>
            </w:r>
          </w:p>
        </w:tc>
        <w:tc>
          <w:tcPr>
            <w:tcW w:w="7042" w:type="dxa"/>
          </w:tcPr>
          <w:p w14:paraId="60F1261A">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4D8171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BDF550D">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总资产</w:t>
            </w:r>
          </w:p>
        </w:tc>
        <w:tc>
          <w:tcPr>
            <w:tcW w:w="7042" w:type="dxa"/>
          </w:tcPr>
          <w:p w14:paraId="69D61EE7">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3E22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AE7E0F7">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固定资产</w:t>
            </w:r>
          </w:p>
        </w:tc>
        <w:tc>
          <w:tcPr>
            <w:tcW w:w="7042" w:type="dxa"/>
          </w:tcPr>
          <w:p w14:paraId="2C8834B2">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5ACD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043A438">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流动资产</w:t>
            </w:r>
          </w:p>
        </w:tc>
        <w:tc>
          <w:tcPr>
            <w:tcW w:w="7042" w:type="dxa"/>
          </w:tcPr>
          <w:p w14:paraId="27E503C0">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46A24D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51A1D2A">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净资产</w:t>
            </w:r>
          </w:p>
        </w:tc>
        <w:tc>
          <w:tcPr>
            <w:tcW w:w="7042" w:type="dxa"/>
          </w:tcPr>
          <w:p w14:paraId="425B99C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7C5C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572AC4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总负债</w:t>
            </w:r>
          </w:p>
        </w:tc>
        <w:tc>
          <w:tcPr>
            <w:tcW w:w="7042" w:type="dxa"/>
          </w:tcPr>
          <w:p w14:paraId="5D828FD1">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4445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3ABEFD69">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短期负债</w:t>
            </w:r>
          </w:p>
        </w:tc>
        <w:tc>
          <w:tcPr>
            <w:tcW w:w="7042" w:type="dxa"/>
          </w:tcPr>
          <w:p w14:paraId="706C8C73">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2A42A5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42EEC20">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长期负债</w:t>
            </w:r>
          </w:p>
        </w:tc>
        <w:tc>
          <w:tcPr>
            <w:tcW w:w="7042" w:type="dxa"/>
          </w:tcPr>
          <w:p w14:paraId="252EAB4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75B9D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03C3C2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资产负债率</w:t>
            </w:r>
          </w:p>
        </w:tc>
        <w:tc>
          <w:tcPr>
            <w:tcW w:w="7042" w:type="dxa"/>
          </w:tcPr>
          <w:p w14:paraId="2B65CBE7">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7D57E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54C5D9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流动比率</w:t>
            </w:r>
          </w:p>
        </w:tc>
        <w:tc>
          <w:tcPr>
            <w:tcW w:w="7042" w:type="dxa"/>
          </w:tcPr>
          <w:p w14:paraId="5C61463E">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406D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17A57F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税前利润</w:t>
            </w:r>
          </w:p>
        </w:tc>
        <w:tc>
          <w:tcPr>
            <w:tcW w:w="7042" w:type="dxa"/>
          </w:tcPr>
          <w:p w14:paraId="615493CA">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E8F55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44081AA">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税后利润</w:t>
            </w:r>
          </w:p>
        </w:tc>
        <w:tc>
          <w:tcPr>
            <w:tcW w:w="7042" w:type="dxa"/>
          </w:tcPr>
          <w:p w14:paraId="5D875EC1">
            <w:pPr>
              <w:spacing w:line="276" w:lineRule="auto"/>
              <w:jc w:val="center"/>
              <w:rPr>
                <w:rFonts w:ascii="宋体" w:hAnsi="宋体" w:eastAsia="宋体" w:cs="宋体"/>
                <w:color w:val="000000" w:themeColor="text1"/>
                <w:sz w:val="21"/>
                <w:szCs w:val="21"/>
                <w14:textFill>
                  <w14:solidFill>
                    <w14:schemeClr w14:val="tx1"/>
                  </w14:solidFill>
                </w14:textFill>
              </w:rPr>
            </w:pPr>
          </w:p>
        </w:tc>
      </w:tr>
    </w:tbl>
    <w:p w14:paraId="0D261020">
      <w:pPr>
        <w:spacing w:line="360" w:lineRule="auto"/>
        <w:rPr>
          <w:rFonts w:ascii="宋体" w:hAnsi="宋体" w:eastAsia="宋体" w:cs="宋体"/>
          <w:color w:val="000000" w:themeColor="text1"/>
          <w:sz w:val="21"/>
          <w:szCs w:val="21"/>
          <w14:textFill>
            <w14:solidFill>
              <w14:schemeClr w14:val="tx1"/>
            </w14:solidFill>
          </w14:textFill>
        </w:rPr>
      </w:pPr>
    </w:p>
    <w:p w14:paraId="34B553C7">
      <w:pPr>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授权代表签字：供应商：（盖章）</w:t>
      </w:r>
    </w:p>
    <w:p w14:paraId="2248D4B9">
      <w:pPr>
        <w:adjustRightInd w:val="0"/>
        <w:snapToGrid w:val="0"/>
        <w:spacing w:line="44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职务：日期：</w:t>
      </w:r>
      <w:r>
        <w:rPr>
          <w:rFonts w:hint="eastAsia" w:ascii="宋体" w:hAnsi="宋体" w:eastAsia="宋体" w:cs="宋体"/>
          <w:color w:val="000000" w:themeColor="text1"/>
          <w:sz w:val="21"/>
          <w:szCs w:val="21"/>
          <w14:textFill>
            <w14:solidFill>
              <w14:schemeClr w14:val="tx1"/>
            </w14:solidFill>
          </w14:textFill>
        </w:rPr>
        <w:tab/>
      </w:r>
    </w:p>
    <w:p w14:paraId="79129FB6">
      <w:pPr>
        <w:tabs>
          <w:tab w:val="left" w:pos="1599"/>
        </w:tabs>
        <w:rPr>
          <w:rFonts w:ascii="宋体" w:hAnsi="宋体" w:eastAsia="宋体" w:cs="宋体"/>
          <w:b/>
          <w:color w:val="000000" w:themeColor="text1"/>
          <w:sz w:val="21"/>
          <w:szCs w:val="21"/>
          <w14:textFill>
            <w14:solidFill>
              <w14:schemeClr w14:val="tx1"/>
            </w14:solidFill>
          </w14:textFill>
        </w:rPr>
        <w:sectPr>
          <w:headerReference r:id="rId14" w:type="default"/>
          <w:footerReference r:id="rId15" w:type="default"/>
          <w:pgSz w:w="11907" w:h="16840"/>
          <w:pgMar w:top="1418" w:right="1418" w:bottom="1418" w:left="1418" w:header="851" w:footer="680" w:gutter="0"/>
          <w:pgNumType w:fmt="decimal"/>
          <w:cols w:space="425" w:num="1"/>
          <w:titlePg/>
          <w:docGrid w:linePitch="536" w:charSpace="7143"/>
        </w:sectPr>
      </w:pPr>
      <w:r>
        <w:rPr>
          <w:rFonts w:hint="eastAsia" w:ascii="宋体" w:hAnsi="宋体" w:eastAsia="宋体" w:cs="宋体"/>
          <w:b/>
          <w:color w:val="000000" w:themeColor="text1"/>
          <w:sz w:val="21"/>
          <w:szCs w:val="21"/>
          <w14:textFill>
            <w14:solidFill>
              <w14:schemeClr w14:val="tx1"/>
            </w14:solidFill>
          </w14:textFill>
        </w:rPr>
        <w:t>附录5-2-6企业信誉资质证</w:t>
      </w:r>
    </w:p>
    <w:p w14:paraId="0427F00E">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 5-2-</w:t>
      </w:r>
      <w:r>
        <w:rPr>
          <w:rFonts w:hint="eastAsia" w:ascii="宋体" w:hAnsi="宋体" w:eastAsia="宋体" w:cs="宋体"/>
          <w:b/>
          <w:color w:val="000000" w:themeColor="text1"/>
          <w:szCs w:val="24"/>
          <w:lang w:val="en-US" w:eastAsia="zh-CN"/>
          <w14:textFill>
            <w14:solidFill>
              <w14:schemeClr w14:val="tx1"/>
            </w14:solidFill>
          </w14:textFill>
        </w:rPr>
        <w:t>6</w:t>
      </w:r>
      <w:r>
        <w:rPr>
          <w:rFonts w:hint="eastAsia" w:ascii="宋体" w:hAnsi="宋体" w:eastAsia="宋体" w:cs="宋体"/>
          <w:b/>
          <w:color w:val="000000" w:themeColor="text1"/>
          <w:szCs w:val="24"/>
          <w14:textFill>
            <w14:solidFill>
              <w14:schemeClr w14:val="tx1"/>
            </w14:solidFill>
          </w14:textFill>
        </w:rPr>
        <w:t xml:space="preserve"> 业绩表：</w:t>
      </w:r>
    </w:p>
    <w:p w14:paraId="32AD65B8">
      <w:pPr>
        <w:rPr>
          <w:rFonts w:ascii="宋体" w:hAnsi="宋体" w:eastAsia="宋体" w:cs="宋体"/>
          <w:bCs/>
          <w:color w:val="000000" w:themeColor="text1"/>
          <w:szCs w:val="24"/>
          <w14:textFill>
            <w14:solidFill>
              <w14:schemeClr w14:val="tx1"/>
            </w14:solidFill>
          </w14:textFill>
        </w:rPr>
      </w:pPr>
    </w:p>
    <w:p w14:paraId="73009628">
      <w:pPr>
        <w:widowControl/>
        <w:rPr>
          <w:rFonts w:ascii="宋体" w:hAnsi="宋体" w:eastAsia="宋体" w:cs="宋体"/>
          <w:color w:val="000000" w:themeColor="text1"/>
          <w:kern w:val="0"/>
          <w:szCs w:val="24"/>
          <w14:textFill>
            <w14:solidFill>
              <w14:schemeClr w14:val="tx1"/>
            </w14:solidFill>
          </w14:textFill>
        </w:rPr>
      </w:pPr>
    </w:p>
    <w:p w14:paraId="0F1B0E95">
      <w:pPr>
        <w:pStyle w:val="94"/>
        <w:tabs>
          <w:tab w:val="clear" w:pos="2340"/>
        </w:tabs>
        <w:wordWrap w:val="0"/>
        <w:spacing w:line="240" w:lineRule="auto"/>
        <w:ind w:right="120"/>
        <w:jc w:val="right"/>
        <w:rPr>
          <w:rFonts w:hint="default" w:ascii="宋体" w:hAnsi="宋体" w:eastAsia="宋体" w:cs="宋体"/>
          <w:b w:val="0"/>
          <w:color w:val="000000" w:themeColor="text1"/>
          <w:sz w:val="24"/>
          <w:szCs w:val="24"/>
          <w14:textFill>
            <w14:solidFill>
              <w14:schemeClr w14:val="tx1"/>
            </w14:solidFill>
          </w14:textFill>
        </w:rPr>
      </w:pPr>
    </w:p>
    <w:p w14:paraId="239B3D1F">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业绩表（近五年或总业绩表）</w:t>
      </w:r>
    </w:p>
    <w:p w14:paraId="5415EE10">
      <w:pPr>
        <w:jc w:val="center"/>
        <w:rPr>
          <w:rFonts w:ascii="宋体" w:hAnsi="宋体" w:eastAsia="宋体" w:cs="宋体"/>
          <w:b/>
          <w:color w:val="000000" w:themeColor="text1"/>
          <w:szCs w:val="24"/>
          <w14:textFill>
            <w14:solidFill>
              <w14:schemeClr w14:val="tx1"/>
            </w14:solidFill>
          </w14:textFill>
        </w:rPr>
      </w:pPr>
    </w:p>
    <w:p w14:paraId="5CEB5B36">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典型业绩请附合同扫描件（含工程规模，可以不含价格）</w:t>
      </w:r>
    </w:p>
    <w:tbl>
      <w:tblPr>
        <w:tblStyle w:val="48"/>
        <w:tblpPr w:leftFromText="180" w:rightFromText="180" w:vertAnchor="text" w:horzAnchor="margin" w:tblpX="152" w:tblpY="1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5"/>
        <w:gridCol w:w="2250"/>
        <w:gridCol w:w="2986"/>
        <w:gridCol w:w="1718"/>
        <w:gridCol w:w="2264"/>
      </w:tblGrid>
      <w:tr w14:paraId="4803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5" w:type="dxa"/>
            <w:vAlign w:val="center"/>
          </w:tcPr>
          <w:p w14:paraId="42DD24C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2250" w:type="dxa"/>
            <w:vAlign w:val="center"/>
          </w:tcPr>
          <w:p w14:paraId="22FFFE3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440DAB8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86" w:type="dxa"/>
            <w:vAlign w:val="center"/>
          </w:tcPr>
          <w:p w14:paraId="7DEF5DCC">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4A477C3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18" w:type="dxa"/>
            <w:vAlign w:val="center"/>
          </w:tcPr>
          <w:p w14:paraId="6BEF0C37">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2264" w:type="dxa"/>
            <w:vAlign w:val="center"/>
          </w:tcPr>
          <w:p w14:paraId="2B5D3FA6">
            <w:pPr>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备注</w:t>
            </w:r>
          </w:p>
        </w:tc>
      </w:tr>
      <w:tr w14:paraId="3DC3C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5" w:type="dxa"/>
          </w:tcPr>
          <w:p w14:paraId="2B91CF7F">
            <w:pPr>
              <w:rPr>
                <w:rFonts w:ascii="宋体" w:hAnsi="宋体" w:eastAsia="宋体" w:cs="宋体"/>
                <w:color w:val="000000" w:themeColor="text1"/>
                <w:szCs w:val="24"/>
                <w14:textFill>
                  <w14:solidFill>
                    <w14:schemeClr w14:val="tx1"/>
                  </w14:solidFill>
                </w14:textFill>
              </w:rPr>
            </w:pPr>
          </w:p>
        </w:tc>
        <w:tc>
          <w:tcPr>
            <w:tcW w:w="2250" w:type="dxa"/>
          </w:tcPr>
          <w:p w14:paraId="110EC38D">
            <w:pPr>
              <w:rPr>
                <w:rFonts w:ascii="宋体" w:hAnsi="宋体" w:eastAsia="宋体" w:cs="宋体"/>
                <w:color w:val="000000" w:themeColor="text1"/>
                <w:szCs w:val="24"/>
                <w14:textFill>
                  <w14:solidFill>
                    <w14:schemeClr w14:val="tx1"/>
                  </w14:solidFill>
                </w14:textFill>
              </w:rPr>
            </w:pPr>
          </w:p>
        </w:tc>
        <w:tc>
          <w:tcPr>
            <w:tcW w:w="2986" w:type="dxa"/>
          </w:tcPr>
          <w:p w14:paraId="346B18BC">
            <w:pPr>
              <w:rPr>
                <w:rFonts w:ascii="宋体" w:hAnsi="宋体" w:eastAsia="宋体" w:cs="宋体"/>
                <w:color w:val="000000" w:themeColor="text1"/>
                <w:szCs w:val="24"/>
                <w14:textFill>
                  <w14:solidFill>
                    <w14:schemeClr w14:val="tx1"/>
                  </w14:solidFill>
                </w14:textFill>
              </w:rPr>
            </w:pPr>
          </w:p>
        </w:tc>
        <w:tc>
          <w:tcPr>
            <w:tcW w:w="1718" w:type="dxa"/>
          </w:tcPr>
          <w:p w14:paraId="102753C0">
            <w:pPr>
              <w:rPr>
                <w:rFonts w:ascii="宋体" w:hAnsi="宋体" w:eastAsia="宋体" w:cs="宋体"/>
                <w:color w:val="000000" w:themeColor="text1"/>
                <w:szCs w:val="24"/>
                <w14:textFill>
                  <w14:solidFill>
                    <w14:schemeClr w14:val="tx1"/>
                  </w14:solidFill>
                </w14:textFill>
              </w:rPr>
            </w:pPr>
          </w:p>
        </w:tc>
        <w:tc>
          <w:tcPr>
            <w:tcW w:w="2264" w:type="dxa"/>
          </w:tcPr>
          <w:p w14:paraId="18D4A124">
            <w:pPr>
              <w:rPr>
                <w:rFonts w:ascii="宋体" w:hAnsi="宋体" w:eastAsia="宋体" w:cs="宋体"/>
                <w:color w:val="000000" w:themeColor="text1"/>
                <w:szCs w:val="24"/>
                <w14:textFill>
                  <w14:solidFill>
                    <w14:schemeClr w14:val="tx1"/>
                  </w14:solidFill>
                </w14:textFill>
              </w:rPr>
            </w:pPr>
          </w:p>
        </w:tc>
      </w:tr>
      <w:tr w14:paraId="1448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5" w:type="dxa"/>
          </w:tcPr>
          <w:p w14:paraId="27445346">
            <w:pPr>
              <w:rPr>
                <w:rFonts w:ascii="宋体" w:hAnsi="宋体" w:eastAsia="宋体" w:cs="宋体"/>
                <w:color w:val="000000" w:themeColor="text1"/>
                <w:szCs w:val="24"/>
                <w14:textFill>
                  <w14:solidFill>
                    <w14:schemeClr w14:val="tx1"/>
                  </w14:solidFill>
                </w14:textFill>
              </w:rPr>
            </w:pPr>
          </w:p>
        </w:tc>
        <w:tc>
          <w:tcPr>
            <w:tcW w:w="2250" w:type="dxa"/>
          </w:tcPr>
          <w:p w14:paraId="105841EF">
            <w:pPr>
              <w:rPr>
                <w:rFonts w:ascii="宋体" w:hAnsi="宋体" w:eastAsia="宋体" w:cs="宋体"/>
                <w:color w:val="000000" w:themeColor="text1"/>
                <w:szCs w:val="24"/>
                <w14:textFill>
                  <w14:solidFill>
                    <w14:schemeClr w14:val="tx1"/>
                  </w14:solidFill>
                </w14:textFill>
              </w:rPr>
            </w:pPr>
          </w:p>
        </w:tc>
        <w:tc>
          <w:tcPr>
            <w:tcW w:w="2986" w:type="dxa"/>
          </w:tcPr>
          <w:p w14:paraId="2E89BD97">
            <w:pPr>
              <w:rPr>
                <w:rFonts w:ascii="宋体" w:hAnsi="宋体" w:eastAsia="宋体" w:cs="宋体"/>
                <w:color w:val="000000" w:themeColor="text1"/>
                <w:szCs w:val="24"/>
                <w14:textFill>
                  <w14:solidFill>
                    <w14:schemeClr w14:val="tx1"/>
                  </w14:solidFill>
                </w14:textFill>
              </w:rPr>
            </w:pPr>
          </w:p>
        </w:tc>
        <w:tc>
          <w:tcPr>
            <w:tcW w:w="1718" w:type="dxa"/>
          </w:tcPr>
          <w:p w14:paraId="685B4DEF">
            <w:pPr>
              <w:rPr>
                <w:rFonts w:ascii="宋体" w:hAnsi="宋体" w:eastAsia="宋体" w:cs="宋体"/>
                <w:color w:val="000000" w:themeColor="text1"/>
                <w:szCs w:val="24"/>
                <w14:textFill>
                  <w14:solidFill>
                    <w14:schemeClr w14:val="tx1"/>
                  </w14:solidFill>
                </w14:textFill>
              </w:rPr>
            </w:pPr>
          </w:p>
        </w:tc>
        <w:tc>
          <w:tcPr>
            <w:tcW w:w="2264" w:type="dxa"/>
          </w:tcPr>
          <w:p w14:paraId="09EB29E0">
            <w:pPr>
              <w:rPr>
                <w:rFonts w:ascii="宋体" w:hAnsi="宋体" w:eastAsia="宋体" w:cs="宋体"/>
                <w:color w:val="000000" w:themeColor="text1"/>
                <w:szCs w:val="24"/>
                <w14:textFill>
                  <w14:solidFill>
                    <w14:schemeClr w14:val="tx1"/>
                  </w14:solidFill>
                </w14:textFill>
              </w:rPr>
            </w:pPr>
          </w:p>
        </w:tc>
      </w:tr>
      <w:tr w14:paraId="4D3D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5" w:type="dxa"/>
          </w:tcPr>
          <w:p w14:paraId="1F18D56E">
            <w:pPr>
              <w:rPr>
                <w:rFonts w:ascii="宋体" w:hAnsi="宋体" w:eastAsia="宋体" w:cs="宋体"/>
                <w:color w:val="000000" w:themeColor="text1"/>
                <w:szCs w:val="24"/>
                <w14:textFill>
                  <w14:solidFill>
                    <w14:schemeClr w14:val="tx1"/>
                  </w14:solidFill>
                </w14:textFill>
              </w:rPr>
            </w:pPr>
          </w:p>
        </w:tc>
        <w:tc>
          <w:tcPr>
            <w:tcW w:w="2250" w:type="dxa"/>
          </w:tcPr>
          <w:p w14:paraId="40B532C1">
            <w:pPr>
              <w:rPr>
                <w:rFonts w:ascii="宋体" w:hAnsi="宋体" w:eastAsia="宋体" w:cs="宋体"/>
                <w:color w:val="000000" w:themeColor="text1"/>
                <w:szCs w:val="24"/>
                <w14:textFill>
                  <w14:solidFill>
                    <w14:schemeClr w14:val="tx1"/>
                  </w14:solidFill>
                </w14:textFill>
              </w:rPr>
            </w:pPr>
          </w:p>
        </w:tc>
        <w:tc>
          <w:tcPr>
            <w:tcW w:w="2986" w:type="dxa"/>
          </w:tcPr>
          <w:p w14:paraId="46D9D0E1">
            <w:pPr>
              <w:rPr>
                <w:rFonts w:ascii="宋体" w:hAnsi="宋体" w:eastAsia="宋体" w:cs="宋体"/>
                <w:color w:val="000000" w:themeColor="text1"/>
                <w:szCs w:val="24"/>
                <w14:textFill>
                  <w14:solidFill>
                    <w14:schemeClr w14:val="tx1"/>
                  </w14:solidFill>
                </w14:textFill>
              </w:rPr>
            </w:pPr>
          </w:p>
        </w:tc>
        <w:tc>
          <w:tcPr>
            <w:tcW w:w="1718" w:type="dxa"/>
          </w:tcPr>
          <w:p w14:paraId="7CF5031C">
            <w:pPr>
              <w:rPr>
                <w:rFonts w:ascii="宋体" w:hAnsi="宋体" w:eastAsia="宋体" w:cs="宋体"/>
                <w:color w:val="000000" w:themeColor="text1"/>
                <w:szCs w:val="24"/>
                <w14:textFill>
                  <w14:solidFill>
                    <w14:schemeClr w14:val="tx1"/>
                  </w14:solidFill>
                </w14:textFill>
              </w:rPr>
            </w:pPr>
          </w:p>
        </w:tc>
        <w:tc>
          <w:tcPr>
            <w:tcW w:w="2264" w:type="dxa"/>
          </w:tcPr>
          <w:p w14:paraId="6FCC3DB3">
            <w:pPr>
              <w:rPr>
                <w:rFonts w:ascii="宋体" w:hAnsi="宋体" w:eastAsia="宋体" w:cs="宋体"/>
                <w:color w:val="000000" w:themeColor="text1"/>
                <w:szCs w:val="24"/>
                <w14:textFill>
                  <w14:solidFill>
                    <w14:schemeClr w14:val="tx1"/>
                  </w14:solidFill>
                </w14:textFill>
              </w:rPr>
            </w:pPr>
          </w:p>
        </w:tc>
      </w:tr>
      <w:tr w14:paraId="4125E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5" w:type="dxa"/>
          </w:tcPr>
          <w:p w14:paraId="757985FA">
            <w:pPr>
              <w:rPr>
                <w:rFonts w:ascii="宋体" w:hAnsi="宋体" w:eastAsia="宋体" w:cs="宋体"/>
                <w:color w:val="000000" w:themeColor="text1"/>
                <w:szCs w:val="24"/>
                <w14:textFill>
                  <w14:solidFill>
                    <w14:schemeClr w14:val="tx1"/>
                  </w14:solidFill>
                </w14:textFill>
              </w:rPr>
            </w:pPr>
          </w:p>
        </w:tc>
        <w:tc>
          <w:tcPr>
            <w:tcW w:w="2250" w:type="dxa"/>
          </w:tcPr>
          <w:p w14:paraId="3FB03190">
            <w:pPr>
              <w:rPr>
                <w:rFonts w:ascii="宋体" w:hAnsi="宋体" w:eastAsia="宋体" w:cs="宋体"/>
                <w:color w:val="000000" w:themeColor="text1"/>
                <w:szCs w:val="24"/>
                <w14:textFill>
                  <w14:solidFill>
                    <w14:schemeClr w14:val="tx1"/>
                  </w14:solidFill>
                </w14:textFill>
              </w:rPr>
            </w:pPr>
          </w:p>
        </w:tc>
        <w:tc>
          <w:tcPr>
            <w:tcW w:w="2986" w:type="dxa"/>
          </w:tcPr>
          <w:p w14:paraId="68945F22">
            <w:pPr>
              <w:rPr>
                <w:rFonts w:ascii="宋体" w:hAnsi="宋体" w:eastAsia="宋体" w:cs="宋体"/>
                <w:color w:val="000000" w:themeColor="text1"/>
                <w:szCs w:val="24"/>
                <w14:textFill>
                  <w14:solidFill>
                    <w14:schemeClr w14:val="tx1"/>
                  </w14:solidFill>
                </w14:textFill>
              </w:rPr>
            </w:pPr>
          </w:p>
        </w:tc>
        <w:tc>
          <w:tcPr>
            <w:tcW w:w="1718" w:type="dxa"/>
          </w:tcPr>
          <w:p w14:paraId="0E1FD60F">
            <w:pPr>
              <w:rPr>
                <w:rFonts w:ascii="宋体" w:hAnsi="宋体" w:eastAsia="宋体" w:cs="宋体"/>
                <w:color w:val="000000" w:themeColor="text1"/>
                <w:szCs w:val="24"/>
                <w14:textFill>
                  <w14:solidFill>
                    <w14:schemeClr w14:val="tx1"/>
                  </w14:solidFill>
                </w14:textFill>
              </w:rPr>
            </w:pPr>
          </w:p>
        </w:tc>
        <w:tc>
          <w:tcPr>
            <w:tcW w:w="2264" w:type="dxa"/>
          </w:tcPr>
          <w:p w14:paraId="13BCECB8">
            <w:pPr>
              <w:rPr>
                <w:rFonts w:ascii="宋体" w:hAnsi="宋体" w:eastAsia="宋体" w:cs="宋体"/>
                <w:color w:val="000000" w:themeColor="text1"/>
                <w:szCs w:val="24"/>
                <w14:textFill>
                  <w14:solidFill>
                    <w14:schemeClr w14:val="tx1"/>
                  </w14:solidFill>
                </w14:textFill>
              </w:rPr>
            </w:pPr>
          </w:p>
        </w:tc>
      </w:tr>
      <w:tr w14:paraId="15C4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5" w:type="dxa"/>
          </w:tcPr>
          <w:p w14:paraId="2A91EF7B">
            <w:pPr>
              <w:rPr>
                <w:rFonts w:ascii="宋体" w:hAnsi="宋体" w:eastAsia="宋体" w:cs="宋体"/>
                <w:color w:val="000000" w:themeColor="text1"/>
                <w:szCs w:val="24"/>
                <w14:textFill>
                  <w14:solidFill>
                    <w14:schemeClr w14:val="tx1"/>
                  </w14:solidFill>
                </w14:textFill>
              </w:rPr>
            </w:pPr>
          </w:p>
        </w:tc>
        <w:tc>
          <w:tcPr>
            <w:tcW w:w="2250" w:type="dxa"/>
          </w:tcPr>
          <w:p w14:paraId="2AB311B5">
            <w:pPr>
              <w:rPr>
                <w:rFonts w:ascii="宋体" w:hAnsi="宋体" w:eastAsia="宋体" w:cs="宋体"/>
                <w:color w:val="000000" w:themeColor="text1"/>
                <w:szCs w:val="24"/>
                <w14:textFill>
                  <w14:solidFill>
                    <w14:schemeClr w14:val="tx1"/>
                  </w14:solidFill>
                </w14:textFill>
              </w:rPr>
            </w:pPr>
          </w:p>
        </w:tc>
        <w:tc>
          <w:tcPr>
            <w:tcW w:w="2986" w:type="dxa"/>
          </w:tcPr>
          <w:p w14:paraId="6712D4E1">
            <w:pPr>
              <w:rPr>
                <w:rFonts w:ascii="宋体" w:hAnsi="宋体" w:eastAsia="宋体" w:cs="宋体"/>
                <w:color w:val="000000" w:themeColor="text1"/>
                <w:szCs w:val="24"/>
                <w14:textFill>
                  <w14:solidFill>
                    <w14:schemeClr w14:val="tx1"/>
                  </w14:solidFill>
                </w14:textFill>
              </w:rPr>
            </w:pPr>
          </w:p>
        </w:tc>
        <w:tc>
          <w:tcPr>
            <w:tcW w:w="1718" w:type="dxa"/>
          </w:tcPr>
          <w:p w14:paraId="0863748E">
            <w:pPr>
              <w:rPr>
                <w:rFonts w:ascii="宋体" w:hAnsi="宋体" w:eastAsia="宋体" w:cs="宋体"/>
                <w:color w:val="000000" w:themeColor="text1"/>
                <w:szCs w:val="24"/>
                <w14:textFill>
                  <w14:solidFill>
                    <w14:schemeClr w14:val="tx1"/>
                  </w14:solidFill>
                </w14:textFill>
              </w:rPr>
            </w:pPr>
          </w:p>
        </w:tc>
        <w:tc>
          <w:tcPr>
            <w:tcW w:w="2264" w:type="dxa"/>
          </w:tcPr>
          <w:p w14:paraId="2D2995F5">
            <w:pPr>
              <w:rPr>
                <w:rFonts w:ascii="宋体" w:hAnsi="宋体" w:eastAsia="宋体" w:cs="宋体"/>
                <w:color w:val="000000" w:themeColor="text1"/>
                <w:szCs w:val="24"/>
                <w14:textFill>
                  <w14:solidFill>
                    <w14:schemeClr w14:val="tx1"/>
                  </w14:solidFill>
                </w14:textFill>
              </w:rPr>
            </w:pPr>
          </w:p>
        </w:tc>
      </w:tr>
    </w:tbl>
    <w:p w14:paraId="5D65AA1E">
      <w:pPr>
        <w:jc w:val="center"/>
        <w:rPr>
          <w:rFonts w:ascii="宋体" w:hAnsi="宋体" w:eastAsia="宋体" w:cs="宋体"/>
          <w:color w:val="000000" w:themeColor="text1"/>
          <w:szCs w:val="24"/>
          <w14:textFill>
            <w14:solidFill>
              <w14:schemeClr w14:val="tx1"/>
            </w14:solidFill>
          </w14:textFill>
        </w:rPr>
      </w:pPr>
    </w:p>
    <w:p w14:paraId="7D6AD515">
      <w:pPr>
        <w:jc w:val="center"/>
        <w:rPr>
          <w:rFonts w:ascii="宋体" w:hAnsi="宋体" w:eastAsia="宋体" w:cs="宋体"/>
          <w:color w:val="000000" w:themeColor="text1"/>
          <w:szCs w:val="24"/>
          <w14:textFill>
            <w14:solidFill>
              <w14:schemeClr w14:val="tx1"/>
            </w14:solidFill>
          </w14:textFill>
        </w:rPr>
      </w:pPr>
    </w:p>
    <w:p w14:paraId="6BE064AE">
      <w:pPr>
        <w:jc w:val="center"/>
        <w:rPr>
          <w:rFonts w:ascii="宋体" w:hAnsi="宋体" w:eastAsia="宋体" w:cs="宋体"/>
          <w:color w:val="000000" w:themeColor="text1"/>
          <w:szCs w:val="24"/>
          <w14:textFill>
            <w14:solidFill>
              <w14:schemeClr w14:val="tx1"/>
            </w14:solidFill>
          </w14:textFill>
        </w:rPr>
      </w:pPr>
    </w:p>
    <w:p w14:paraId="36CAB045">
      <w:pPr>
        <w:jc w:val="center"/>
        <w:rPr>
          <w:rFonts w:ascii="宋体" w:hAnsi="宋体" w:eastAsia="宋体" w:cs="宋体"/>
          <w:color w:val="000000" w:themeColor="text1"/>
          <w:szCs w:val="24"/>
          <w14:textFill>
            <w14:solidFill>
              <w14:schemeClr w14:val="tx1"/>
            </w14:solidFill>
          </w14:textFill>
        </w:rPr>
      </w:pPr>
    </w:p>
    <w:p w14:paraId="4AA197BD">
      <w:pPr>
        <w:jc w:val="center"/>
        <w:rPr>
          <w:rFonts w:ascii="宋体" w:hAnsi="宋体" w:eastAsia="宋体" w:cs="宋体"/>
          <w:color w:val="000000" w:themeColor="text1"/>
          <w:szCs w:val="24"/>
          <w14:textFill>
            <w14:solidFill>
              <w14:schemeClr w14:val="tx1"/>
            </w14:solidFill>
          </w14:textFill>
        </w:rPr>
      </w:pPr>
    </w:p>
    <w:p w14:paraId="627A5284">
      <w:pPr>
        <w:jc w:val="center"/>
        <w:rPr>
          <w:rFonts w:ascii="宋体" w:hAnsi="宋体" w:eastAsia="宋体" w:cs="宋体"/>
          <w:color w:val="000000" w:themeColor="text1"/>
          <w:szCs w:val="24"/>
          <w14:textFill>
            <w14:solidFill>
              <w14:schemeClr w14:val="tx1"/>
            </w14:solidFill>
          </w14:textFill>
        </w:rPr>
      </w:pPr>
    </w:p>
    <w:p w14:paraId="4AF61065">
      <w:pPr>
        <w:jc w:val="center"/>
        <w:rPr>
          <w:rFonts w:ascii="宋体" w:hAnsi="宋体" w:eastAsia="宋体" w:cs="宋体"/>
          <w:color w:val="000000" w:themeColor="text1"/>
          <w:szCs w:val="24"/>
          <w14:textFill>
            <w14:solidFill>
              <w14:schemeClr w14:val="tx1"/>
            </w14:solidFill>
          </w14:textFill>
        </w:rPr>
      </w:pPr>
    </w:p>
    <w:p w14:paraId="43668438">
      <w:pPr>
        <w:jc w:val="center"/>
        <w:rPr>
          <w:rFonts w:ascii="宋体" w:hAnsi="宋体" w:eastAsia="宋体" w:cs="宋体"/>
          <w:color w:val="000000" w:themeColor="text1"/>
          <w:szCs w:val="24"/>
          <w14:textFill>
            <w14:solidFill>
              <w14:schemeClr w14:val="tx1"/>
            </w14:solidFill>
          </w14:textFill>
        </w:rPr>
      </w:pPr>
    </w:p>
    <w:p w14:paraId="34FB57CB">
      <w:pPr>
        <w:jc w:val="center"/>
        <w:rPr>
          <w:rFonts w:ascii="宋体" w:hAnsi="宋体" w:eastAsia="宋体" w:cs="宋体"/>
          <w:color w:val="000000" w:themeColor="text1"/>
          <w:szCs w:val="24"/>
          <w14:textFill>
            <w14:solidFill>
              <w14:schemeClr w14:val="tx1"/>
            </w14:solidFill>
          </w14:textFill>
        </w:rPr>
      </w:pPr>
    </w:p>
    <w:p w14:paraId="228A052E">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31447CC8">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bookmarkEnd w:id="421"/>
    <w:bookmarkEnd w:id="422"/>
    <w:p w14:paraId="2AF88BEF">
      <w:pPr>
        <w:jc w:val="center"/>
        <w:rPr>
          <w:rFonts w:ascii="宋体" w:hAnsi="宋体" w:eastAsia="宋体" w:cs="宋体"/>
          <w:b/>
          <w:color w:val="000000" w:themeColor="text1"/>
          <w:sz w:val="44"/>
          <w:szCs w:val="44"/>
          <w14:textFill>
            <w14:solidFill>
              <w14:schemeClr w14:val="tx1"/>
            </w14:solidFill>
          </w14:textFill>
        </w:rPr>
      </w:pPr>
    </w:p>
    <w:p w14:paraId="3C7EEF3D">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sectPr>
          <w:headerReference r:id="rId16" w:type="default"/>
          <w:footerReference r:id="rId17" w:type="default"/>
          <w:pgSz w:w="16839" w:h="11907" w:orient="landscape"/>
          <w:pgMar w:top="1440" w:right="1077" w:bottom="1440" w:left="1077" w:header="851" w:footer="992" w:gutter="0"/>
          <w:pgNumType w:fmt="decimal"/>
          <w:cols w:space="425" w:num="1"/>
          <w:docGrid w:linePitch="326" w:charSpace="0"/>
        </w:sectPr>
      </w:pPr>
      <w:bookmarkStart w:id="423" w:name="_Toc136173624"/>
    </w:p>
    <w:p w14:paraId="27B005E0">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24" w:name="_Toc14358"/>
      <w:r>
        <w:rPr>
          <w:rFonts w:hint="eastAsia" w:ascii="宋体" w:hAnsi="宋体" w:eastAsia="宋体" w:cs="宋体"/>
          <w:b/>
          <w:bCs/>
          <w:color w:val="000000" w:themeColor="text1"/>
          <w:sz w:val="28"/>
          <w:szCs w:val="28"/>
          <w:lang w:val="zh-CN"/>
          <w14:textFill>
            <w14:solidFill>
              <w14:schemeClr w14:val="tx1"/>
            </w14:solidFill>
          </w14:textFill>
        </w:rPr>
        <w:t>3.技术投标书文件的格式和内容</w:t>
      </w:r>
      <w:bookmarkEnd w:id="423"/>
      <w:bookmarkEnd w:id="424"/>
    </w:p>
    <w:p w14:paraId="0B5CDB9D">
      <w:pPr>
        <w:jc w:val="center"/>
        <w:rPr>
          <w:rFonts w:ascii="宋体" w:hAnsi="宋体" w:eastAsia="宋体" w:cs="宋体"/>
          <w:b/>
          <w:color w:val="000000" w:themeColor="text1"/>
          <w:sz w:val="44"/>
          <w:szCs w:val="44"/>
          <w14:textFill>
            <w14:solidFill>
              <w14:schemeClr w14:val="tx1"/>
            </w14:solidFill>
          </w14:textFill>
        </w:rPr>
      </w:pPr>
    </w:p>
    <w:p w14:paraId="149B7C10">
      <w:pPr>
        <w:jc w:val="center"/>
        <w:rPr>
          <w:rFonts w:ascii="宋体" w:hAnsi="宋体" w:eastAsia="宋体" w:cs="宋体"/>
          <w:b/>
          <w:color w:val="000000" w:themeColor="text1"/>
          <w:sz w:val="44"/>
          <w:szCs w:val="44"/>
          <w14:textFill>
            <w14:solidFill>
              <w14:schemeClr w14:val="tx1"/>
            </w14:solidFill>
          </w14:textFill>
        </w:rPr>
      </w:pPr>
    </w:p>
    <w:p w14:paraId="51B8CF05">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高州</w:t>
      </w:r>
      <w:r>
        <w:rPr>
          <w:rFonts w:hint="eastAsia" w:ascii="宋体" w:hAnsi="宋体" w:eastAsia="宋体" w:cs="宋体"/>
          <w:b/>
          <w:color w:val="000000" w:themeColor="text1"/>
          <w:sz w:val="44"/>
          <w:szCs w:val="44"/>
          <w14:textFill>
            <w14:solidFill>
              <w14:schemeClr w14:val="tx1"/>
            </w14:solidFill>
          </w14:textFill>
        </w:rPr>
        <w:t>项目</w:t>
      </w:r>
    </w:p>
    <w:p w14:paraId="676D1187">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2025年-2026年金坑飞灰填埋场运营管理及飞灰转运、填埋服务</w:t>
      </w:r>
    </w:p>
    <w:p w14:paraId="702FD7D2">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645A0E49">
      <w:pPr>
        <w:spacing w:line="360" w:lineRule="auto"/>
        <w:jc w:val="both"/>
        <w:rPr>
          <w:rFonts w:ascii="宋体" w:hAnsi="宋体" w:eastAsia="宋体" w:cs="宋体"/>
          <w:b/>
          <w:bCs/>
          <w:color w:val="000000" w:themeColor="text1"/>
          <w:sz w:val="84"/>
          <w:szCs w:val="84"/>
          <w14:textFill>
            <w14:solidFill>
              <w14:schemeClr w14:val="tx1"/>
            </w14:solidFill>
          </w14:textFill>
        </w:rPr>
      </w:pPr>
    </w:p>
    <w:p w14:paraId="5951F3E6">
      <w:pPr>
        <w:widowControl/>
        <w:adjustRightInd w:val="0"/>
        <w:snapToGrid w:val="0"/>
        <w:spacing w:line="360" w:lineRule="auto"/>
        <w:jc w:val="center"/>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第三部分 技术投标书</w:t>
      </w:r>
      <w:r>
        <w:rPr>
          <w:rFonts w:hint="eastAsia" w:ascii="宋体" w:hAnsi="宋体" w:eastAsia="宋体" w:cs="宋体"/>
          <w:b/>
          <w:color w:val="000000" w:themeColor="text1"/>
          <w:sz w:val="44"/>
          <w:szCs w:val="44"/>
          <w:lang w:eastAsia="zh-CN"/>
          <w14:textFill>
            <w14:solidFill>
              <w14:schemeClr w14:val="tx1"/>
            </w14:solidFill>
          </w14:textFill>
        </w:rPr>
        <w:t>（</w:t>
      </w:r>
      <w:r>
        <w:rPr>
          <w:rFonts w:hint="eastAsia" w:ascii="宋体" w:hAnsi="宋体" w:eastAsia="宋体" w:cs="宋体"/>
          <w:b/>
          <w:color w:val="000000" w:themeColor="text1"/>
          <w:sz w:val="44"/>
          <w:szCs w:val="44"/>
          <w:lang w:val="en-US" w:eastAsia="zh-CN"/>
          <w14:textFill>
            <w14:solidFill>
              <w14:schemeClr w14:val="tx1"/>
            </w14:solidFill>
          </w14:textFill>
        </w:rPr>
        <w:t>服务方案</w:t>
      </w:r>
      <w:r>
        <w:rPr>
          <w:rFonts w:hint="eastAsia" w:ascii="宋体" w:hAnsi="宋体" w:eastAsia="宋体" w:cs="宋体"/>
          <w:b/>
          <w:color w:val="000000" w:themeColor="text1"/>
          <w:sz w:val="44"/>
          <w:szCs w:val="44"/>
          <w:lang w:eastAsia="zh-CN"/>
          <w14:textFill>
            <w14:solidFill>
              <w14:schemeClr w14:val="tx1"/>
            </w14:solidFill>
          </w14:textFill>
        </w:rPr>
        <w:t>）</w:t>
      </w:r>
    </w:p>
    <w:p w14:paraId="637AEE83">
      <w:pPr>
        <w:widowControl/>
        <w:adjustRightInd w:val="0"/>
        <w:snapToGrid w:val="0"/>
        <w:spacing w:line="360" w:lineRule="auto"/>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（招标编号:ITB-LK-GZFD-YY-fw-2025-057）</w:t>
      </w:r>
    </w:p>
    <w:p w14:paraId="624968A2">
      <w:pPr>
        <w:jc w:val="center"/>
        <w:rPr>
          <w:rFonts w:ascii="宋体" w:hAnsi="宋体" w:eastAsia="宋体" w:cs="宋体"/>
          <w:b/>
          <w:color w:val="000000" w:themeColor="text1"/>
          <w:sz w:val="28"/>
          <w:szCs w:val="28"/>
          <w14:textFill>
            <w14:solidFill>
              <w14:schemeClr w14:val="tx1"/>
            </w14:solidFill>
          </w14:textFill>
        </w:rPr>
      </w:pPr>
    </w:p>
    <w:p w14:paraId="73CADF29">
      <w:pPr>
        <w:jc w:val="center"/>
        <w:rPr>
          <w:rFonts w:ascii="宋体" w:hAnsi="宋体" w:eastAsia="宋体" w:cs="宋体"/>
          <w:b/>
          <w:color w:val="000000" w:themeColor="text1"/>
          <w:sz w:val="28"/>
          <w:szCs w:val="28"/>
          <w14:textFill>
            <w14:solidFill>
              <w14:schemeClr w14:val="tx1"/>
            </w14:solidFill>
          </w14:textFill>
        </w:rPr>
      </w:pPr>
    </w:p>
    <w:p w14:paraId="77521249">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3DED37C5">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1189CD76">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36DB27CD">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1B7F6BAA">
      <w:pPr>
        <w:jc w:val="center"/>
        <w:rPr>
          <w:rFonts w:hint="eastAsia"/>
        </w:rPr>
      </w:pPr>
      <w:r>
        <w:rPr>
          <w:rFonts w:hint="eastAsia" w:ascii="宋体" w:hAnsi="宋体" w:eastAsia="宋体" w:cs="宋体"/>
          <w:bCs/>
          <w:color w:val="000000" w:themeColor="text1"/>
          <w:sz w:val="28"/>
          <w:szCs w:val="28"/>
          <w:lang w:val="zh-CN"/>
          <w14:textFill>
            <w14:solidFill>
              <w14:schemeClr w14:val="tx1"/>
            </w14:solidFill>
          </w14:textFill>
        </w:rPr>
        <w:t>日期：二○二</w:t>
      </w:r>
      <w:r>
        <w:rPr>
          <w:rFonts w:hint="eastAsia" w:ascii="宋体" w:hAnsi="宋体" w:eastAsia="宋体" w:cs="宋体"/>
          <w:bCs/>
          <w:color w:val="000000" w:themeColor="text1"/>
          <w:sz w:val="28"/>
          <w:szCs w:val="28"/>
          <w:lang w:val="en-US" w:eastAsia="zh-CN"/>
          <w14:textFill>
            <w14:solidFill>
              <w14:schemeClr w14:val="tx1"/>
            </w14:solidFill>
          </w14:textFill>
        </w:rPr>
        <w:t>五</w:t>
      </w:r>
      <w:r>
        <w:rPr>
          <w:rFonts w:hint="eastAsia" w:ascii="宋体" w:hAnsi="宋体" w:eastAsia="宋体" w:cs="宋体"/>
          <w:bCs/>
          <w:color w:val="000000" w:themeColor="text1"/>
          <w:sz w:val="28"/>
          <w:szCs w:val="28"/>
          <w:lang w:val="zh-CN"/>
          <w14:textFill>
            <w14:solidFill>
              <w14:schemeClr w14:val="tx1"/>
            </w14:solidFill>
          </w14:textFill>
        </w:rPr>
        <w:t>年  月   日</w:t>
      </w:r>
    </w:p>
    <w:sectPr>
      <w:pgSz w:w="11906" w:h="16838"/>
      <w:pgMar w:top="1440" w:right="1080" w:bottom="1440" w:left="108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D2FE">
    <w:pPr>
      <w:pStyle w:val="30"/>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DEA7">
    <w:pPr>
      <w:pStyle w:val="3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0349D">
                          <w:pPr>
                            <w:pStyle w:val="30"/>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30349D">
                    <w:pPr>
                      <w:pStyle w:val="30"/>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814094041"/>
    </w:sdtPr>
    <w:sdtEndPr>
      <w:rPr>
        <w:rFonts w:asciiTheme="minorEastAsia" w:hAnsiTheme="minorEastAsia" w:eastAsiaTheme="minorEastAsia"/>
      </w:rPr>
    </w:sdtEndPr>
    <w:sdtContent>
      <w:sdt>
        <w:sdtPr>
          <w:rPr>
            <w:rFonts w:asciiTheme="minorEastAsia" w:hAnsiTheme="minorEastAsia" w:eastAsiaTheme="minorEastAsia"/>
          </w:rPr>
          <w:id w:val="-1705238520"/>
        </w:sdtPr>
        <w:sdtEndPr>
          <w:rPr>
            <w:rFonts w:asciiTheme="minorEastAsia" w:hAnsiTheme="minorEastAsia" w:eastAsiaTheme="minorEastAsia"/>
          </w:rPr>
        </w:sdtEndPr>
        <w:sdtContent>
          <w:p w14:paraId="7BE665CC">
            <w:pPr>
              <w:pStyle w:val="30"/>
              <w:jc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PAGE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37</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 共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NUMPAGES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45</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w:t>
            </w:r>
          </w:p>
        </w:sdtContent>
      </w:sdt>
    </w:sdtContent>
  </w:sdt>
  <w:p w14:paraId="0F428B4F">
    <w:pPr>
      <w:pStyle w:val="30"/>
      <w:rPr>
        <w:rFonts w:asciiTheme="minorEastAsia" w:hAnsiTheme="minorEastAsia"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4E44">
    <w:pPr>
      <w:pStyle w:val="3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DE4B">
    <w:pPr>
      <w:pStyle w:val="3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CBA91">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FCBA91">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EE79">
    <w:pPr>
      <w:pStyle w:val="1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96BAF">
                          <w:pPr>
                            <w:pStyle w:val="3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696BAF">
                    <w:pPr>
                      <w:pStyle w:val="3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6B39">
    <w:pPr>
      <w:pStyle w:val="1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AA36C">
                          <w:pPr>
                            <w:pStyle w:val="3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4AA36C">
                    <w:pPr>
                      <w:pStyle w:val="3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25B3">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1DFD5">
                          <w:pPr>
                            <w:pStyle w:val="3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F1DFD5">
                    <w:pPr>
                      <w:pStyle w:val="3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3F7BF670">
    <w:pPr>
      <w:pStyle w:val="3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FFFF">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C1B4F">
                          <w:pPr>
                            <w:pStyle w:val="3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CC1B4F">
                    <w:pPr>
                      <w:pStyle w:val="3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5A06">
    <w:pPr>
      <w:pStyle w:val="3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8AB07">
                          <w:pPr>
                            <w:pStyle w:val="3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D8AB07">
                    <w:pPr>
                      <w:pStyle w:val="3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541E7154">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7762">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46B5">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BA53">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5F3E">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D7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87F32"/>
    <w:multiLevelType w:val="singleLevel"/>
    <w:tmpl w:val="FB987F32"/>
    <w:lvl w:ilvl="0" w:tentative="0">
      <w:start w:val="1"/>
      <w:numFmt w:val="decimal"/>
      <w:suff w:val="nothing"/>
      <w:lvlText w:val="%1、"/>
      <w:lvlJc w:val="left"/>
    </w:lvl>
  </w:abstractNum>
  <w:abstractNum w:abstractNumId="1">
    <w:nsid w:val="3F669B4F"/>
    <w:multiLevelType w:val="multilevel"/>
    <w:tmpl w:val="3F669B4F"/>
    <w:lvl w:ilvl="0" w:tentative="0">
      <w:start w:val="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D5769D9"/>
    <w:multiLevelType w:val="singleLevel"/>
    <w:tmpl w:val="5D5769D9"/>
    <w:lvl w:ilvl="0" w:tentative="0">
      <w:start w:val="1"/>
      <w:numFmt w:val="chineseCounting"/>
      <w:suff w:val="space"/>
      <w:lvlText w:val="第%1章"/>
      <w:lvlJc w:val="left"/>
    </w:lvl>
  </w:abstractNum>
  <w:abstractNum w:abstractNumId="3">
    <w:nsid w:val="78E37DB0"/>
    <w:multiLevelType w:val="multilevel"/>
    <w:tmpl w:val="78E37DB0"/>
    <w:lvl w:ilvl="0" w:tentative="0">
      <w:start w:val="1"/>
      <w:numFmt w:val="japaneseCounting"/>
      <w:lvlText w:val="第%1章"/>
      <w:lvlJc w:val="left"/>
      <w:pPr>
        <w:ind w:left="1065" w:hanging="10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Yzc0NzEzODgzOGFkYzcwMmRjZWU3ZmU2MDExNGMifQ=="/>
  </w:docVars>
  <w:rsids>
    <w:rsidRoot w:val="00C03E09"/>
    <w:rsid w:val="00000E21"/>
    <w:rsid w:val="000015A0"/>
    <w:rsid w:val="0000479E"/>
    <w:rsid w:val="000064AB"/>
    <w:rsid w:val="00016902"/>
    <w:rsid w:val="00016FDC"/>
    <w:rsid w:val="00017E33"/>
    <w:rsid w:val="00017EEB"/>
    <w:rsid w:val="00020BD9"/>
    <w:rsid w:val="0002131D"/>
    <w:rsid w:val="000223DF"/>
    <w:rsid w:val="00024E87"/>
    <w:rsid w:val="000271A7"/>
    <w:rsid w:val="00030268"/>
    <w:rsid w:val="00030A6D"/>
    <w:rsid w:val="00031501"/>
    <w:rsid w:val="00031541"/>
    <w:rsid w:val="00033628"/>
    <w:rsid w:val="000347F2"/>
    <w:rsid w:val="00034CCC"/>
    <w:rsid w:val="00036F3B"/>
    <w:rsid w:val="00041ED4"/>
    <w:rsid w:val="00042135"/>
    <w:rsid w:val="00042F43"/>
    <w:rsid w:val="00047540"/>
    <w:rsid w:val="000543B8"/>
    <w:rsid w:val="00054710"/>
    <w:rsid w:val="00057225"/>
    <w:rsid w:val="00061B8E"/>
    <w:rsid w:val="0006207B"/>
    <w:rsid w:val="000665E6"/>
    <w:rsid w:val="000675F6"/>
    <w:rsid w:val="00067A5E"/>
    <w:rsid w:val="00067BD3"/>
    <w:rsid w:val="00071007"/>
    <w:rsid w:val="000729F6"/>
    <w:rsid w:val="00074417"/>
    <w:rsid w:val="00080597"/>
    <w:rsid w:val="000901BD"/>
    <w:rsid w:val="0009149E"/>
    <w:rsid w:val="000A2362"/>
    <w:rsid w:val="000A35D7"/>
    <w:rsid w:val="000A4171"/>
    <w:rsid w:val="000A4355"/>
    <w:rsid w:val="000A6715"/>
    <w:rsid w:val="000A7221"/>
    <w:rsid w:val="000A7357"/>
    <w:rsid w:val="000B0C1E"/>
    <w:rsid w:val="000B3680"/>
    <w:rsid w:val="000B3C97"/>
    <w:rsid w:val="000B4290"/>
    <w:rsid w:val="000B4DB1"/>
    <w:rsid w:val="000B73AC"/>
    <w:rsid w:val="000C0DC1"/>
    <w:rsid w:val="000C1ED8"/>
    <w:rsid w:val="000C2859"/>
    <w:rsid w:val="000C4691"/>
    <w:rsid w:val="000C7E6F"/>
    <w:rsid w:val="000C7F4D"/>
    <w:rsid w:val="000D0756"/>
    <w:rsid w:val="000D42BB"/>
    <w:rsid w:val="000D4A66"/>
    <w:rsid w:val="000D4DE0"/>
    <w:rsid w:val="000D5048"/>
    <w:rsid w:val="000D66C8"/>
    <w:rsid w:val="000D7E86"/>
    <w:rsid w:val="000E2C55"/>
    <w:rsid w:val="000E4341"/>
    <w:rsid w:val="000E59F4"/>
    <w:rsid w:val="000E5F57"/>
    <w:rsid w:val="000E7403"/>
    <w:rsid w:val="000E7C38"/>
    <w:rsid w:val="000F4B0D"/>
    <w:rsid w:val="000F54E0"/>
    <w:rsid w:val="000F5A33"/>
    <w:rsid w:val="001015D2"/>
    <w:rsid w:val="0010196F"/>
    <w:rsid w:val="001022CD"/>
    <w:rsid w:val="001029F3"/>
    <w:rsid w:val="00105347"/>
    <w:rsid w:val="00106FDA"/>
    <w:rsid w:val="00107BCE"/>
    <w:rsid w:val="00110B7B"/>
    <w:rsid w:val="00111CBF"/>
    <w:rsid w:val="00114EDC"/>
    <w:rsid w:val="00117746"/>
    <w:rsid w:val="001177CA"/>
    <w:rsid w:val="00122CB3"/>
    <w:rsid w:val="00132044"/>
    <w:rsid w:val="00136961"/>
    <w:rsid w:val="001373A6"/>
    <w:rsid w:val="00137A11"/>
    <w:rsid w:val="00142197"/>
    <w:rsid w:val="00143FC9"/>
    <w:rsid w:val="001444DE"/>
    <w:rsid w:val="00151579"/>
    <w:rsid w:val="00152D94"/>
    <w:rsid w:val="00154CEF"/>
    <w:rsid w:val="00157CFD"/>
    <w:rsid w:val="00160A92"/>
    <w:rsid w:val="00164C31"/>
    <w:rsid w:val="001706D5"/>
    <w:rsid w:val="001740BA"/>
    <w:rsid w:val="00174CBF"/>
    <w:rsid w:val="00176EC7"/>
    <w:rsid w:val="00180CF1"/>
    <w:rsid w:val="00182243"/>
    <w:rsid w:val="00184EBC"/>
    <w:rsid w:val="001864DF"/>
    <w:rsid w:val="00186522"/>
    <w:rsid w:val="00186F30"/>
    <w:rsid w:val="0019653D"/>
    <w:rsid w:val="00197A5A"/>
    <w:rsid w:val="00197DAB"/>
    <w:rsid w:val="00197F71"/>
    <w:rsid w:val="001A062B"/>
    <w:rsid w:val="001A2473"/>
    <w:rsid w:val="001A36BD"/>
    <w:rsid w:val="001A4EE6"/>
    <w:rsid w:val="001A504C"/>
    <w:rsid w:val="001A61CF"/>
    <w:rsid w:val="001A6FE4"/>
    <w:rsid w:val="001A769D"/>
    <w:rsid w:val="001B3A2B"/>
    <w:rsid w:val="001B6CF8"/>
    <w:rsid w:val="001B726D"/>
    <w:rsid w:val="001C0D45"/>
    <w:rsid w:val="001C0ED9"/>
    <w:rsid w:val="001C2F31"/>
    <w:rsid w:val="001C3625"/>
    <w:rsid w:val="001C4F7D"/>
    <w:rsid w:val="001C512D"/>
    <w:rsid w:val="001C6D25"/>
    <w:rsid w:val="001D285E"/>
    <w:rsid w:val="001D3E85"/>
    <w:rsid w:val="001D4567"/>
    <w:rsid w:val="001D5328"/>
    <w:rsid w:val="001D6259"/>
    <w:rsid w:val="001D7FBD"/>
    <w:rsid w:val="001E0E58"/>
    <w:rsid w:val="001E106E"/>
    <w:rsid w:val="001E1981"/>
    <w:rsid w:val="001E65D3"/>
    <w:rsid w:val="001E6798"/>
    <w:rsid w:val="001F04E3"/>
    <w:rsid w:val="001F3981"/>
    <w:rsid w:val="001F586E"/>
    <w:rsid w:val="001F6662"/>
    <w:rsid w:val="001F6BE8"/>
    <w:rsid w:val="0020032D"/>
    <w:rsid w:val="00207A27"/>
    <w:rsid w:val="00210DAC"/>
    <w:rsid w:val="00213DB0"/>
    <w:rsid w:val="0022117A"/>
    <w:rsid w:val="00222AD8"/>
    <w:rsid w:val="00224FE0"/>
    <w:rsid w:val="00227A40"/>
    <w:rsid w:val="00231145"/>
    <w:rsid w:val="002359E0"/>
    <w:rsid w:val="00245EF3"/>
    <w:rsid w:val="00250855"/>
    <w:rsid w:val="00251181"/>
    <w:rsid w:val="002539E0"/>
    <w:rsid w:val="002604FB"/>
    <w:rsid w:val="00263460"/>
    <w:rsid w:val="00263C2B"/>
    <w:rsid w:val="00264C87"/>
    <w:rsid w:val="002724A2"/>
    <w:rsid w:val="00272CC2"/>
    <w:rsid w:val="00272E9F"/>
    <w:rsid w:val="00274235"/>
    <w:rsid w:val="002747B4"/>
    <w:rsid w:val="00275468"/>
    <w:rsid w:val="00284EA9"/>
    <w:rsid w:val="0028776C"/>
    <w:rsid w:val="00290820"/>
    <w:rsid w:val="00291B74"/>
    <w:rsid w:val="002925A7"/>
    <w:rsid w:val="00295A4C"/>
    <w:rsid w:val="00295DF8"/>
    <w:rsid w:val="002A412D"/>
    <w:rsid w:val="002B0D6C"/>
    <w:rsid w:val="002B1244"/>
    <w:rsid w:val="002B5ADB"/>
    <w:rsid w:val="002B607C"/>
    <w:rsid w:val="002B6406"/>
    <w:rsid w:val="002B678C"/>
    <w:rsid w:val="002B6EA1"/>
    <w:rsid w:val="002B78D9"/>
    <w:rsid w:val="002C1448"/>
    <w:rsid w:val="002C171E"/>
    <w:rsid w:val="002C22F2"/>
    <w:rsid w:val="002C49B4"/>
    <w:rsid w:val="002C4E8C"/>
    <w:rsid w:val="002C5C87"/>
    <w:rsid w:val="002D0C71"/>
    <w:rsid w:val="002D258A"/>
    <w:rsid w:val="002D5F2F"/>
    <w:rsid w:val="002D70CA"/>
    <w:rsid w:val="002E1923"/>
    <w:rsid w:val="002E4AEB"/>
    <w:rsid w:val="002E68E5"/>
    <w:rsid w:val="002E691E"/>
    <w:rsid w:val="002E6A5F"/>
    <w:rsid w:val="002E7BE6"/>
    <w:rsid w:val="002F20E9"/>
    <w:rsid w:val="002F6C51"/>
    <w:rsid w:val="00301F2E"/>
    <w:rsid w:val="00305EB0"/>
    <w:rsid w:val="00306C53"/>
    <w:rsid w:val="0031408F"/>
    <w:rsid w:val="00314D41"/>
    <w:rsid w:val="00317390"/>
    <w:rsid w:val="0032226E"/>
    <w:rsid w:val="00323090"/>
    <w:rsid w:val="0032362E"/>
    <w:rsid w:val="00333DB0"/>
    <w:rsid w:val="003352B0"/>
    <w:rsid w:val="00340611"/>
    <w:rsid w:val="00341246"/>
    <w:rsid w:val="003466DB"/>
    <w:rsid w:val="00347632"/>
    <w:rsid w:val="00352AA4"/>
    <w:rsid w:val="00354116"/>
    <w:rsid w:val="00354BC0"/>
    <w:rsid w:val="00360BED"/>
    <w:rsid w:val="00365535"/>
    <w:rsid w:val="00371B55"/>
    <w:rsid w:val="003740A8"/>
    <w:rsid w:val="00376319"/>
    <w:rsid w:val="00383CB8"/>
    <w:rsid w:val="00383EEC"/>
    <w:rsid w:val="00386874"/>
    <w:rsid w:val="00390CAE"/>
    <w:rsid w:val="00391E25"/>
    <w:rsid w:val="0039331A"/>
    <w:rsid w:val="0039673C"/>
    <w:rsid w:val="003A0D9D"/>
    <w:rsid w:val="003A430C"/>
    <w:rsid w:val="003A6A78"/>
    <w:rsid w:val="003B0681"/>
    <w:rsid w:val="003B0D97"/>
    <w:rsid w:val="003B62F3"/>
    <w:rsid w:val="003C2229"/>
    <w:rsid w:val="003C3DEE"/>
    <w:rsid w:val="003C6A1E"/>
    <w:rsid w:val="003C7939"/>
    <w:rsid w:val="003C7D64"/>
    <w:rsid w:val="003D1901"/>
    <w:rsid w:val="003D5D4F"/>
    <w:rsid w:val="003E0B1C"/>
    <w:rsid w:val="003E15FE"/>
    <w:rsid w:val="003E4BE6"/>
    <w:rsid w:val="003E5147"/>
    <w:rsid w:val="003E6B44"/>
    <w:rsid w:val="003E74CA"/>
    <w:rsid w:val="003F044F"/>
    <w:rsid w:val="003F4060"/>
    <w:rsid w:val="003F455A"/>
    <w:rsid w:val="003F471D"/>
    <w:rsid w:val="003F5F42"/>
    <w:rsid w:val="00401F89"/>
    <w:rsid w:val="004027AB"/>
    <w:rsid w:val="00404783"/>
    <w:rsid w:val="00410BC3"/>
    <w:rsid w:val="00411480"/>
    <w:rsid w:val="004225FC"/>
    <w:rsid w:val="00424893"/>
    <w:rsid w:val="00432480"/>
    <w:rsid w:val="0044189C"/>
    <w:rsid w:val="00441E90"/>
    <w:rsid w:val="00444F04"/>
    <w:rsid w:val="004463B2"/>
    <w:rsid w:val="00450591"/>
    <w:rsid w:val="0045106E"/>
    <w:rsid w:val="004540B0"/>
    <w:rsid w:val="0045463B"/>
    <w:rsid w:val="00454AD3"/>
    <w:rsid w:val="004654C0"/>
    <w:rsid w:val="00467DB0"/>
    <w:rsid w:val="0047191E"/>
    <w:rsid w:val="0047207F"/>
    <w:rsid w:val="004740C7"/>
    <w:rsid w:val="00474307"/>
    <w:rsid w:val="00474F71"/>
    <w:rsid w:val="00476A5F"/>
    <w:rsid w:val="00484272"/>
    <w:rsid w:val="004919B2"/>
    <w:rsid w:val="00491D31"/>
    <w:rsid w:val="00492632"/>
    <w:rsid w:val="00497536"/>
    <w:rsid w:val="004A0072"/>
    <w:rsid w:val="004A26FA"/>
    <w:rsid w:val="004A27DF"/>
    <w:rsid w:val="004A3810"/>
    <w:rsid w:val="004A3CC6"/>
    <w:rsid w:val="004A5565"/>
    <w:rsid w:val="004A6836"/>
    <w:rsid w:val="004B12CE"/>
    <w:rsid w:val="004B7E2B"/>
    <w:rsid w:val="004C57F8"/>
    <w:rsid w:val="004C7270"/>
    <w:rsid w:val="004C76ED"/>
    <w:rsid w:val="004D182A"/>
    <w:rsid w:val="004D1C74"/>
    <w:rsid w:val="004E02A2"/>
    <w:rsid w:val="004E2FED"/>
    <w:rsid w:val="004E440C"/>
    <w:rsid w:val="004E44A8"/>
    <w:rsid w:val="004E68A6"/>
    <w:rsid w:val="004E7D65"/>
    <w:rsid w:val="004F12E9"/>
    <w:rsid w:val="004F1648"/>
    <w:rsid w:val="004F3050"/>
    <w:rsid w:val="004F3E83"/>
    <w:rsid w:val="00504A0A"/>
    <w:rsid w:val="00505DB1"/>
    <w:rsid w:val="00506FD5"/>
    <w:rsid w:val="00510603"/>
    <w:rsid w:val="00511E21"/>
    <w:rsid w:val="005125FD"/>
    <w:rsid w:val="005129D3"/>
    <w:rsid w:val="00514142"/>
    <w:rsid w:val="00514EF6"/>
    <w:rsid w:val="00517F5A"/>
    <w:rsid w:val="00522111"/>
    <w:rsid w:val="0052394E"/>
    <w:rsid w:val="00525AAA"/>
    <w:rsid w:val="00527BC5"/>
    <w:rsid w:val="0053124E"/>
    <w:rsid w:val="005325E6"/>
    <w:rsid w:val="00532F98"/>
    <w:rsid w:val="005340E2"/>
    <w:rsid w:val="00536A42"/>
    <w:rsid w:val="00540919"/>
    <w:rsid w:val="0054101D"/>
    <w:rsid w:val="00545CC2"/>
    <w:rsid w:val="00545F43"/>
    <w:rsid w:val="00546186"/>
    <w:rsid w:val="00546541"/>
    <w:rsid w:val="0055267A"/>
    <w:rsid w:val="00552CAE"/>
    <w:rsid w:val="005553E1"/>
    <w:rsid w:val="005648AB"/>
    <w:rsid w:val="00567664"/>
    <w:rsid w:val="00570550"/>
    <w:rsid w:val="00574D8F"/>
    <w:rsid w:val="00576D55"/>
    <w:rsid w:val="005773AB"/>
    <w:rsid w:val="00580634"/>
    <w:rsid w:val="005809D4"/>
    <w:rsid w:val="00583DDB"/>
    <w:rsid w:val="00586A01"/>
    <w:rsid w:val="0059272B"/>
    <w:rsid w:val="005928BD"/>
    <w:rsid w:val="00592C9C"/>
    <w:rsid w:val="00594338"/>
    <w:rsid w:val="00597292"/>
    <w:rsid w:val="005978A9"/>
    <w:rsid w:val="005A0BE8"/>
    <w:rsid w:val="005A5911"/>
    <w:rsid w:val="005B6F76"/>
    <w:rsid w:val="005B72DD"/>
    <w:rsid w:val="005C557C"/>
    <w:rsid w:val="005D0627"/>
    <w:rsid w:val="005D3E9F"/>
    <w:rsid w:val="005D64C6"/>
    <w:rsid w:val="005D7605"/>
    <w:rsid w:val="005D7DF0"/>
    <w:rsid w:val="005E01B2"/>
    <w:rsid w:val="005E6B9E"/>
    <w:rsid w:val="005F3223"/>
    <w:rsid w:val="005F5406"/>
    <w:rsid w:val="00601B2F"/>
    <w:rsid w:val="006021AE"/>
    <w:rsid w:val="0060320A"/>
    <w:rsid w:val="00603642"/>
    <w:rsid w:val="00604BD3"/>
    <w:rsid w:val="0060725E"/>
    <w:rsid w:val="00612B56"/>
    <w:rsid w:val="0062177A"/>
    <w:rsid w:val="006217AE"/>
    <w:rsid w:val="006217C1"/>
    <w:rsid w:val="00621EA4"/>
    <w:rsid w:val="00622584"/>
    <w:rsid w:val="00623A23"/>
    <w:rsid w:val="00632192"/>
    <w:rsid w:val="00634D77"/>
    <w:rsid w:val="00634DBB"/>
    <w:rsid w:val="006355CD"/>
    <w:rsid w:val="00641970"/>
    <w:rsid w:val="00643F45"/>
    <w:rsid w:val="006467A4"/>
    <w:rsid w:val="00653CB7"/>
    <w:rsid w:val="0065546E"/>
    <w:rsid w:val="00655744"/>
    <w:rsid w:val="00656FF4"/>
    <w:rsid w:val="00661648"/>
    <w:rsid w:val="00661822"/>
    <w:rsid w:val="00662B92"/>
    <w:rsid w:val="0066332D"/>
    <w:rsid w:val="00664FF4"/>
    <w:rsid w:val="006655BD"/>
    <w:rsid w:val="00673A0D"/>
    <w:rsid w:val="00674DB8"/>
    <w:rsid w:val="00676230"/>
    <w:rsid w:val="00676AA4"/>
    <w:rsid w:val="00684039"/>
    <w:rsid w:val="00685722"/>
    <w:rsid w:val="00686231"/>
    <w:rsid w:val="0069242B"/>
    <w:rsid w:val="00695AE3"/>
    <w:rsid w:val="00697D82"/>
    <w:rsid w:val="006A0C74"/>
    <w:rsid w:val="006A25C4"/>
    <w:rsid w:val="006A5196"/>
    <w:rsid w:val="006B05A2"/>
    <w:rsid w:val="006B1A47"/>
    <w:rsid w:val="006B5D9E"/>
    <w:rsid w:val="006C3025"/>
    <w:rsid w:val="006D4EEF"/>
    <w:rsid w:val="006E3D9B"/>
    <w:rsid w:val="006E5BE5"/>
    <w:rsid w:val="006F332D"/>
    <w:rsid w:val="006F7DC8"/>
    <w:rsid w:val="00701889"/>
    <w:rsid w:val="007050B8"/>
    <w:rsid w:val="007053D6"/>
    <w:rsid w:val="007079E5"/>
    <w:rsid w:val="00712843"/>
    <w:rsid w:val="007158A3"/>
    <w:rsid w:val="007244EC"/>
    <w:rsid w:val="00725481"/>
    <w:rsid w:val="00725BBA"/>
    <w:rsid w:val="007314E9"/>
    <w:rsid w:val="00733D74"/>
    <w:rsid w:val="0073516B"/>
    <w:rsid w:val="007363E6"/>
    <w:rsid w:val="00736D49"/>
    <w:rsid w:val="00737529"/>
    <w:rsid w:val="0074034C"/>
    <w:rsid w:val="0074148C"/>
    <w:rsid w:val="00745C9F"/>
    <w:rsid w:val="007504E7"/>
    <w:rsid w:val="00752D99"/>
    <w:rsid w:val="00754070"/>
    <w:rsid w:val="00755B7F"/>
    <w:rsid w:val="00756182"/>
    <w:rsid w:val="00761443"/>
    <w:rsid w:val="00762A66"/>
    <w:rsid w:val="007673B3"/>
    <w:rsid w:val="00767893"/>
    <w:rsid w:val="00767CA2"/>
    <w:rsid w:val="00777282"/>
    <w:rsid w:val="0078081F"/>
    <w:rsid w:val="00781163"/>
    <w:rsid w:val="00781556"/>
    <w:rsid w:val="00781ABC"/>
    <w:rsid w:val="00787AD1"/>
    <w:rsid w:val="00790D28"/>
    <w:rsid w:val="00792B61"/>
    <w:rsid w:val="00795CA4"/>
    <w:rsid w:val="007964B8"/>
    <w:rsid w:val="007A019D"/>
    <w:rsid w:val="007A17B8"/>
    <w:rsid w:val="007A239A"/>
    <w:rsid w:val="007A3049"/>
    <w:rsid w:val="007A4206"/>
    <w:rsid w:val="007A7B22"/>
    <w:rsid w:val="007A7D6F"/>
    <w:rsid w:val="007B11CC"/>
    <w:rsid w:val="007B17B2"/>
    <w:rsid w:val="007B2104"/>
    <w:rsid w:val="007B4A54"/>
    <w:rsid w:val="007B4C78"/>
    <w:rsid w:val="007C2F45"/>
    <w:rsid w:val="007C5533"/>
    <w:rsid w:val="007D05DE"/>
    <w:rsid w:val="007D577E"/>
    <w:rsid w:val="007D5BD4"/>
    <w:rsid w:val="007D5DDB"/>
    <w:rsid w:val="007D71BA"/>
    <w:rsid w:val="007E3C5C"/>
    <w:rsid w:val="007E7CA6"/>
    <w:rsid w:val="007F3322"/>
    <w:rsid w:val="007F4805"/>
    <w:rsid w:val="0080021C"/>
    <w:rsid w:val="00801CDD"/>
    <w:rsid w:val="00803009"/>
    <w:rsid w:val="00805959"/>
    <w:rsid w:val="00805D53"/>
    <w:rsid w:val="008063A3"/>
    <w:rsid w:val="00806E64"/>
    <w:rsid w:val="0081137C"/>
    <w:rsid w:val="0081584B"/>
    <w:rsid w:val="0082385D"/>
    <w:rsid w:val="008238E9"/>
    <w:rsid w:val="0082413F"/>
    <w:rsid w:val="00825F94"/>
    <w:rsid w:val="00834928"/>
    <w:rsid w:val="00841159"/>
    <w:rsid w:val="00845F24"/>
    <w:rsid w:val="00846C8C"/>
    <w:rsid w:val="0085433A"/>
    <w:rsid w:val="00855C8B"/>
    <w:rsid w:val="00857D78"/>
    <w:rsid w:val="00860DB1"/>
    <w:rsid w:val="00871496"/>
    <w:rsid w:val="008741A5"/>
    <w:rsid w:val="00877592"/>
    <w:rsid w:val="00877C80"/>
    <w:rsid w:val="00884AA2"/>
    <w:rsid w:val="00885C34"/>
    <w:rsid w:val="00886682"/>
    <w:rsid w:val="0088696C"/>
    <w:rsid w:val="00887FBF"/>
    <w:rsid w:val="00891589"/>
    <w:rsid w:val="00894896"/>
    <w:rsid w:val="00895712"/>
    <w:rsid w:val="008977F4"/>
    <w:rsid w:val="008A5520"/>
    <w:rsid w:val="008B53C6"/>
    <w:rsid w:val="008B5ED5"/>
    <w:rsid w:val="008C2B1D"/>
    <w:rsid w:val="008D12D9"/>
    <w:rsid w:val="008D59D3"/>
    <w:rsid w:val="008D64B2"/>
    <w:rsid w:val="008D7571"/>
    <w:rsid w:val="008D78A4"/>
    <w:rsid w:val="008E4F20"/>
    <w:rsid w:val="008E5C67"/>
    <w:rsid w:val="008E5E88"/>
    <w:rsid w:val="008F0095"/>
    <w:rsid w:val="008F3DDB"/>
    <w:rsid w:val="008F6F40"/>
    <w:rsid w:val="00900290"/>
    <w:rsid w:val="00903649"/>
    <w:rsid w:val="009037DE"/>
    <w:rsid w:val="00910F56"/>
    <w:rsid w:val="00911C13"/>
    <w:rsid w:val="00913AC6"/>
    <w:rsid w:val="00913BA0"/>
    <w:rsid w:val="0091493E"/>
    <w:rsid w:val="00920766"/>
    <w:rsid w:val="00933255"/>
    <w:rsid w:val="00934FB4"/>
    <w:rsid w:val="00935724"/>
    <w:rsid w:val="00935AFE"/>
    <w:rsid w:val="0093733C"/>
    <w:rsid w:val="00942C07"/>
    <w:rsid w:val="00942FB3"/>
    <w:rsid w:val="009462AB"/>
    <w:rsid w:val="00946374"/>
    <w:rsid w:val="00946770"/>
    <w:rsid w:val="00955EC8"/>
    <w:rsid w:val="0096010F"/>
    <w:rsid w:val="0096084A"/>
    <w:rsid w:val="00961406"/>
    <w:rsid w:val="00962429"/>
    <w:rsid w:val="00963AD9"/>
    <w:rsid w:val="00963B21"/>
    <w:rsid w:val="00965F6D"/>
    <w:rsid w:val="00970668"/>
    <w:rsid w:val="00970C78"/>
    <w:rsid w:val="00972929"/>
    <w:rsid w:val="00973E7F"/>
    <w:rsid w:val="00974EA4"/>
    <w:rsid w:val="00975C2C"/>
    <w:rsid w:val="00977CA4"/>
    <w:rsid w:val="0098071F"/>
    <w:rsid w:val="00981B3D"/>
    <w:rsid w:val="009824B6"/>
    <w:rsid w:val="00986042"/>
    <w:rsid w:val="009871F3"/>
    <w:rsid w:val="0098726B"/>
    <w:rsid w:val="00987C3B"/>
    <w:rsid w:val="00990548"/>
    <w:rsid w:val="00992550"/>
    <w:rsid w:val="00994494"/>
    <w:rsid w:val="00995AD0"/>
    <w:rsid w:val="009A25DD"/>
    <w:rsid w:val="009A306E"/>
    <w:rsid w:val="009A3B8D"/>
    <w:rsid w:val="009A3C72"/>
    <w:rsid w:val="009A671E"/>
    <w:rsid w:val="009B040B"/>
    <w:rsid w:val="009B3E4D"/>
    <w:rsid w:val="009B4459"/>
    <w:rsid w:val="009B4637"/>
    <w:rsid w:val="009C03DB"/>
    <w:rsid w:val="009C2338"/>
    <w:rsid w:val="009C3294"/>
    <w:rsid w:val="009C4A6F"/>
    <w:rsid w:val="009C5E27"/>
    <w:rsid w:val="009C7A15"/>
    <w:rsid w:val="009D11AB"/>
    <w:rsid w:val="009D18E0"/>
    <w:rsid w:val="009D7EBA"/>
    <w:rsid w:val="009D7F7E"/>
    <w:rsid w:val="009E160B"/>
    <w:rsid w:val="009E1C9A"/>
    <w:rsid w:val="009E3BA6"/>
    <w:rsid w:val="009E47D6"/>
    <w:rsid w:val="009E6A08"/>
    <w:rsid w:val="009E7AE5"/>
    <w:rsid w:val="009F144D"/>
    <w:rsid w:val="009F1A3E"/>
    <w:rsid w:val="009F3EE6"/>
    <w:rsid w:val="009F5237"/>
    <w:rsid w:val="009F7FBD"/>
    <w:rsid w:val="00A000E2"/>
    <w:rsid w:val="00A00B59"/>
    <w:rsid w:val="00A01AE8"/>
    <w:rsid w:val="00A05A4F"/>
    <w:rsid w:val="00A062C2"/>
    <w:rsid w:val="00A119F2"/>
    <w:rsid w:val="00A128F3"/>
    <w:rsid w:val="00A130CF"/>
    <w:rsid w:val="00A23602"/>
    <w:rsid w:val="00A24624"/>
    <w:rsid w:val="00A269E5"/>
    <w:rsid w:val="00A26F8B"/>
    <w:rsid w:val="00A34731"/>
    <w:rsid w:val="00A35202"/>
    <w:rsid w:val="00A363E9"/>
    <w:rsid w:val="00A366E7"/>
    <w:rsid w:val="00A424AB"/>
    <w:rsid w:val="00A42799"/>
    <w:rsid w:val="00A42848"/>
    <w:rsid w:val="00A47AD7"/>
    <w:rsid w:val="00A500E8"/>
    <w:rsid w:val="00A50973"/>
    <w:rsid w:val="00A55511"/>
    <w:rsid w:val="00A56904"/>
    <w:rsid w:val="00A57602"/>
    <w:rsid w:val="00A57E96"/>
    <w:rsid w:val="00A60926"/>
    <w:rsid w:val="00A61372"/>
    <w:rsid w:val="00A63201"/>
    <w:rsid w:val="00A638AE"/>
    <w:rsid w:val="00A63DA9"/>
    <w:rsid w:val="00A70162"/>
    <w:rsid w:val="00A73945"/>
    <w:rsid w:val="00A75426"/>
    <w:rsid w:val="00A75D88"/>
    <w:rsid w:val="00A75E0C"/>
    <w:rsid w:val="00A760B4"/>
    <w:rsid w:val="00A81617"/>
    <w:rsid w:val="00A8476A"/>
    <w:rsid w:val="00A90CB3"/>
    <w:rsid w:val="00A923B9"/>
    <w:rsid w:val="00A94DF9"/>
    <w:rsid w:val="00A97DE1"/>
    <w:rsid w:val="00AA057E"/>
    <w:rsid w:val="00AA1D4A"/>
    <w:rsid w:val="00AA5AFA"/>
    <w:rsid w:val="00AA6272"/>
    <w:rsid w:val="00AA69D2"/>
    <w:rsid w:val="00AB026A"/>
    <w:rsid w:val="00AB104F"/>
    <w:rsid w:val="00AC3891"/>
    <w:rsid w:val="00AC4F26"/>
    <w:rsid w:val="00AC60D1"/>
    <w:rsid w:val="00AC6B27"/>
    <w:rsid w:val="00AC6B92"/>
    <w:rsid w:val="00AC74B3"/>
    <w:rsid w:val="00AC7CC7"/>
    <w:rsid w:val="00AD567B"/>
    <w:rsid w:val="00AE6EE7"/>
    <w:rsid w:val="00AF62A0"/>
    <w:rsid w:val="00B01E11"/>
    <w:rsid w:val="00B02039"/>
    <w:rsid w:val="00B06566"/>
    <w:rsid w:val="00B1257D"/>
    <w:rsid w:val="00B16962"/>
    <w:rsid w:val="00B178F8"/>
    <w:rsid w:val="00B2043D"/>
    <w:rsid w:val="00B22FAF"/>
    <w:rsid w:val="00B231A8"/>
    <w:rsid w:val="00B2620C"/>
    <w:rsid w:val="00B31FBF"/>
    <w:rsid w:val="00B33116"/>
    <w:rsid w:val="00B4359E"/>
    <w:rsid w:val="00B43A37"/>
    <w:rsid w:val="00B46DBC"/>
    <w:rsid w:val="00B5157E"/>
    <w:rsid w:val="00B52987"/>
    <w:rsid w:val="00B53D99"/>
    <w:rsid w:val="00B53DC9"/>
    <w:rsid w:val="00B54A16"/>
    <w:rsid w:val="00B55E6F"/>
    <w:rsid w:val="00B630F2"/>
    <w:rsid w:val="00B654C6"/>
    <w:rsid w:val="00B65FEA"/>
    <w:rsid w:val="00B667F6"/>
    <w:rsid w:val="00B8082C"/>
    <w:rsid w:val="00B8534F"/>
    <w:rsid w:val="00B862B7"/>
    <w:rsid w:val="00B86695"/>
    <w:rsid w:val="00B87EDA"/>
    <w:rsid w:val="00B916FB"/>
    <w:rsid w:val="00B9246A"/>
    <w:rsid w:val="00B94331"/>
    <w:rsid w:val="00B950C8"/>
    <w:rsid w:val="00BA0EFB"/>
    <w:rsid w:val="00BA5DC7"/>
    <w:rsid w:val="00BA72DA"/>
    <w:rsid w:val="00BA771A"/>
    <w:rsid w:val="00BB18DB"/>
    <w:rsid w:val="00BB23C2"/>
    <w:rsid w:val="00BB64A5"/>
    <w:rsid w:val="00BC0D1A"/>
    <w:rsid w:val="00BC1123"/>
    <w:rsid w:val="00BC1736"/>
    <w:rsid w:val="00BC232F"/>
    <w:rsid w:val="00BC307C"/>
    <w:rsid w:val="00BC495B"/>
    <w:rsid w:val="00BC528C"/>
    <w:rsid w:val="00BD5A1E"/>
    <w:rsid w:val="00BE1890"/>
    <w:rsid w:val="00BE2759"/>
    <w:rsid w:val="00BE3985"/>
    <w:rsid w:val="00BE3DF1"/>
    <w:rsid w:val="00BE40AC"/>
    <w:rsid w:val="00BF0779"/>
    <w:rsid w:val="00BF50BC"/>
    <w:rsid w:val="00C02F30"/>
    <w:rsid w:val="00C03BD4"/>
    <w:rsid w:val="00C03E09"/>
    <w:rsid w:val="00C048D7"/>
    <w:rsid w:val="00C07239"/>
    <w:rsid w:val="00C072E5"/>
    <w:rsid w:val="00C2023A"/>
    <w:rsid w:val="00C20EE1"/>
    <w:rsid w:val="00C21647"/>
    <w:rsid w:val="00C22850"/>
    <w:rsid w:val="00C26BD1"/>
    <w:rsid w:val="00C32113"/>
    <w:rsid w:val="00C336BF"/>
    <w:rsid w:val="00C40065"/>
    <w:rsid w:val="00C42094"/>
    <w:rsid w:val="00C44576"/>
    <w:rsid w:val="00C46581"/>
    <w:rsid w:val="00C5125B"/>
    <w:rsid w:val="00C516AD"/>
    <w:rsid w:val="00C53ABE"/>
    <w:rsid w:val="00C55723"/>
    <w:rsid w:val="00C5611B"/>
    <w:rsid w:val="00C565C5"/>
    <w:rsid w:val="00C61FC3"/>
    <w:rsid w:val="00C632EC"/>
    <w:rsid w:val="00C63A29"/>
    <w:rsid w:val="00C64501"/>
    <w:rsid w:val="00C67614"/>
    <w:rsid w:val="00C75C33"/>
    <w:rsid w:val="00C76CC0"/>
    <w:rsid w:val="00C84522"/>
    <w:rsid w:val="00C855EC"/>
    <w:rsid w:val="00C85862"/>
    <w:rsid w:val="00C8652A"/>
    <w:rsid w:val="00C948DC"/>
    <w:rsid w:val="00C95E54"/>
    <w:rsid w:val="00C97C68"/>
    <w:rsid w:val="00CA10D0"/>
    <w:rsid w:val="00CA11E7"/>
    <w:rsid w:val="00CA2B5E"/>
    <w:rsid w:val="00CA5DA9"/>
    <w:rsid w:val="00CA5FD2"/>
    <w:rsid w:val="00CA7120"/>
    <w:rsid w:val="00CB3061"/>
    <w:rsid w:val="00CB393C"/>
    <w:rsid w:val="00CB51CC"/>
    <w:rsid w:val="00CB6050"/>
    <w:rsid w:val="00CC05AF"/>
    <w:rsid w:val="00CC172C"/>
    <w:rsid w:val="00CC1972"/>
    <w:rsid w:val="00CC5E11"/>
    <w:rsid w:val="00CD0864"/>
    <w:rsid w:val="00CD3242"/>
    <w:rsid w:val="00CD6D11"/>
    <w:rsid w:val="00CD71EC"/>
    <w:rsid w:val="00CE0788"/>
    <w:rsid w:val="00CE38FB"/>
    <w:rsid w:val="00CE3FE2"/>
    <w:rsid w:val="00CE4785"/>
    <w:rsid w:val="00CE5A1F"/>
    <w:rsid w:val="00CE5CC9"/>
    <w:rsid w:val="00CE6ECF"/>
    <w:rsid w:val="00CE7D48"/>
    <w:rsid w:val="00CF499F"/>
    <w:rsid w:val="00D026EC"/>
    <w:rsid w:val="00D03DFA"/>
    <w:rsid w:val="00D06827"/>
    <w:rsid w:val="00D073EC"/>
    <w:rsid w:val="00D1368F"/>
    <w:rsid w:val="00D13CBE"/>
    <w:rsid w:val="00D21807"/>
    <w:rsid w:val="00D34A15"/>
    <w:rsid w:val="00D357A5"/>
    <w:rsid w:val="00D37238"/>
    <w:rsid w:val="00D40A43"/>
    <w:rsid w:val="00D4297C"/>
    <w:rsid w:val="00D45813"/>
    <w:rsid w:val="00D51C37"/>
    <w:rsid w:val="00D56C4D"/>
    <w:rsid w:val="00D60642"/>
    <w:rsid w:val="00D60C44"/>
    <w:rsid w:val="00D6102C"/>
    <w:rsid w:val="00D61298"/>
    <w:rsid w:val="00D62E25"/>
    <w:rsid w:val="00D63897"/>
    <w:rsid w:val="00D7407C"/>
    <w:rsid w:val="00D741E2"/>
    <w:rsid w:val="00D74A2D"/>
    <w:rsid w:val="00D763BD"/>
    <w:rsid w:val="00D776EA"/>
    <w:rsid w:val="00D81933"/>
    <w:rsid w:val="00D82B21"/>
    <w:rsid w:val="00D855D3"/>
    <w:rsid w:val="00D9091B"/>
    <w:rsid w:val="00D923BF"/>
    <w:rsid w:val="00D94533"/>
    <w:rsid w:val="00D958D0"/>
    <w:rsid w:val="00D97B46"/>
    <w:rsid w:val="00DA6439"/>
    <w:rsid w:val="00DA7414"/>
    <w:rsid w:val="00DB59EE"/>
    <w:rsid w:val="00DB6549"/>
    <w:rsid w:val="00DB725C"/>
    <w:rsid w:val="00DC052B"/>
    <w:rsid w:val="00DC1103"/>
    <w:rsid w:val="00DC1978"/>
    <w:rsid w:val="00DC5E05"/>
    <w:rsid w:val="00DD25DF"/>
    <w:rsid w:val="00DD3052"/>
    <w:rsid w:val="00DD542A"/>
    <w:rsid w:val="00DE1BF4"/>
    <w:rsid w:val="00DE241B"/>
    <w:rsid w:val="00DE30E1"/>
    <w:rsid w:val="00DE50D7"/>
    <w:rsid w:val="00DE62A0"/>
    <w:rsid w:val="00DF30C1"/>
    <w:rsid w:val="00DF30C4"/>
    <w:rsid w:val="00DF4783"/>
    <w:rsid w:val="00DF4FF7"/>
    <w:rsid w:val="00DF6901"/>
    <w:rsid w:val="00DF6BB0"/>
    <w:rsid w:val="00DF6C12"/>
    <w:rsid w:val="00E003C1"/>
    <w:rsid w:val="00E0042C"/>
    <w:rsid w:val="00E01A13"/>
    <w:rsid w:val="00E01FE0"/>
    <w:rsid w:val="00E031B7"/>
    <w:rsid w:val="00E03633"/>
    <w:rsid w:val="00E05E34"/>
    <w:rsid w:val="00E0685C"/>
    <w:rsid w:val="00E076F7"/>
    <w:rsid w:val="00E102F2"/>
    <w:rsid w:val="00E10467"/>
    <w:rsid w:val="00E1094F"/>
    <w:rsid w:val="00E11905"/>
    <w:rsid w:val="00E13A20"/>
    <w:rsid w:val="00E20FC2"/>
    <w:rsid w:val="00E21BE0"/>
    <w:rsid w:val="00E31C0A"/>
    <w:rsid w:val="00E32166"/>
    <w:rsid w:val="00E3370C"/>
    <w:rsid w:val="00E3439C"/>
    <w:rsid w:val="00E40DC8"/>
    <w:rsid w:val="00E452A1"/>
    <w:rsid w:val="00E46C47"/>
    <w:rsid w:val="00E51289"/>
    <w:rsid w:val="00E54784"/>
    <w:rsid w:val="00E54F19"/>
    <w:rsid w:val="00E55AF5"/>
    <w:rsid w:val="00E55DEA"/>
    <w:rsid w:val="00E57F03"/>
    <w:rsid w:val="00E57F79"/>
    <w:rsid w:val="00E60570"/>
    <w:rsid w:val="00E60919"/>
    <w:rsid w:val="00E62CE4"/>
    <w:rsid w:val="00E65E3B"/>
    <w:rsid w:val="00E669BF"/>
    <w:rsid w:val="00E66CE9"/>
    <w:rsid w:val="00E7152C"/>
    <w:rsid w:val="00E72C7E"/>
    <w:rsid w:val="00E75677"/>
    <w:rsid w:val="00E833CF"/>
    <w:rsid w:val="00E83FC9"/>
    <w:rsid w:val="00E8730E"/>
    <w:rsid w:val="00E91F47"/>
    <w:rsid w:val="00E92261"/>
    <w:rsid w:val="00E9641D"/>
    <w:rsid w:val="00E96E0E"/>
    <w:rsid w:val="00EA31BB"/>
    <w:rsid w:val="00EA4F10"/>
    <w:rsid w:val="00EB01A2"/>
    <w:rsid w:val="00EB0462"/>
    <w:rsid w:val="00EB11E1"/>
    <w:rsid w:val="00EB1482"/>
    <w:rsid w:val="00EB3D17"/>
    <w:rsid w:val="00EC1DF6"/>
    <w:rsid w:val="00EC4020"/>
    <w:rsid w:val="00ED010E"/>
    <w:rsid w:val="00ED7409"/>
    <w:rsid w:val="00EE0437"/>
    <w:rsid w:val="00EE0D68"/>
    <w:rsid w:val="00EF14E0"/>
    <w:rsid w:val="00EF45CF"/>
    <w:rsid w:val="00F00EA8"/>
    <w:rsid w:val="00F02864"/>
    <w:rsid w:val="00F0308E"/>
    <w:rsid w:val="00F04962"/>
    <w:rsid w:val="00F076D6"/>
    <w:rsid w:val="00F078D8"/>
    <w:rsid w:val="00F137EB"/>
    <w:rsid w:val="00F216FB"/>
    <w:rsid w:val="00F22156"/>
    <w:rsid w:val="00F22197"/>
    <w:rsid w:val="00F22302"/>
    <w:rsid w:val="00F24122"/>
    <w:rsid w:val="00F312B0"/>
    <w:rsid w:val="00F322C9"/>
    <w:rsid w:val="00F35138"/>
    <w:rsid w:val="00F35C3D"/>
    <w:rsid w:val="00F42114"/>
    <w:rsid w:val="00F42CAE"/>
    <w:rsid w:val="00F51B8D"/>
    <w:rsid w:val="00F548B1"/>
    <w:rsid w:val="00F55B4E"/>
    <w:rsid w:val="00F5656E"/>
    <w:rsid w:val="00F707E8"/>
    <w:rsid w:val="00F7200C"/>
    <w:rsid w:val="00F8599D"/>
    <w:rsid w:val="00F905B2"/>
    <w:rsid w:val="00F93CEB"/>
    <w:rsid w:val="00F96A29"/>
    <w:rsid w:val="00FA55BA"/>
    <w:rsid w:val="00FB3376"/>
    <w:rsid w:val="00FB47C6"/>
    <w:rsid w:val="00FC3285"/>
    <w:rsid w:val="00FC49DF"/>
    <w:rsid w:val="00FC51AE"/>
    <w:rsid w:val="00FD44F1"/>
    <w:rsid w:val="00FD5953"/>
    <w:rsid w:val="00FD5F09"/>
    <w:rsid w:val="00FD7EEF"/>
    <w:rsid w:val="00FE1E75"/>
    <w:rsid w:val="00FE28DD"/>
    <w:rsid w:val="00FE3617"/>
    <w:rsid w:val="00FE69C2"/>
    <w:rsid w:val="00FF188F"/>
    <w:rsid w:val="00FF3C02"/>
    <w:rsid w:val="00FF41BB"/>
    <w:rsid w:val="00FF5CCB"/>
    <w:rsid w:val="00FF755B"/>
    <w:rsid w:val="01A6474F"/>
    <w:rsid w:val="01A71FD9"/>
    <w:rsid w:val="04546D50"/>
    <w:rsid w:val="04AD6080"/>
    <w:rsid w:val="052059BA"/>
    <w:rsid w:val="05215853"/>
    <w:rsid w:val="059F358C"/>
    <w:rsid w:val="06B733F6"/>
    <w:rsid w:val="07371C64"/>
    <w:rsid w:val="080261BB"/>
    <w:rsid w:val="08BB5227"/>
    <w:rsid w:val="08E458C1"/>
    <w:rsid w:val="09861EDB"/>
    <w:rsid w:val="09BF7C59"/>
    <w:rsid w:val="0A0F2E11"/>
    <w:rsid w:val="0B0C73F9"/>
    <w:rsid w:val="0C242202"/>
    <w:rsid w:val="0C4F5747"/>
    <w:rsid w:val="0D6D7505"/>
    <w:rsid w:val="0D9A2344"/>
    <w:rsid w:val="0F625F8C"/>
    <w:rsid w:val="0F6D292E"/>
    <w:rsid w:val="10122088"/>
    <w:rsid w:val="10CD3F4E"/>
    <w:rsid w:val="11D129A2"/>
    <w:rsid w:val="12DC1163"/>
    <w:rsid w:val="14220929"/>
    <w:rsid w:val="1466786F"/>
    <w:rsid w:val="15224034"/>
    <w:rsid w:val="15A479D9"/>
    <w:rsid w:val="15C747E0"/>
    <w:rsid w:val="164D719B"/>
    <w:rsid w:val="19420317"/>
    <w:rsid w:val="19851536"/>
    <w:rsid w:val="19F4796B"/>
    <w:rsid w:val="1A560966"/>
    <w:rsid w:val="1AC437A4"/>
    <w:rsid w:val="1AD12D9C"/>
    <w:rsid w:val="1B7A3E63"/>
    <w:rsid w:val="1D523D17"/>
    <w:rsid w:val="1D571223"/>
    <w:rsid w:val="1F070103"/>
    <w:rsid w:val="1F65384D"/>
    <w:rsid w:val="204D5FEA"/>
    <w:rsid w:val="20857665"/>
    <w:rsid w:val="20ED750D"/>
    <w:rsid w:val="227C10BC"/>
    <w:rsid w:val="229B317B"/>
    <w:rsid w:val="23142C78"/>
    <w:rsid w:val="24AF24A7"/>
    <w:rsid w:val="2599786D"/>
    <w:rsid w:val="25C767B2"/>
    <w:rsid w:val="25E119D8"/>
    <w:rsid w:val="281D715E"/>
    <w:rsid w:val="29125E4D"/>
    <w:rsid w:val="291B4ED7"/>
    <w:rsid w:val="294143DB"/>
    <w:rsid w:val="2A104310"/>
    <w:rsid w:val="2A4C4E0D"/>
    <w:rsid w:val="2A681362"/>
    <w:rsid w:val="2B3D7387"/>
    <w:rsid w:val="2B820819"/>
    <w:rsid w:val="2BA03472"/>
    <w:rsid w:val="2C244DF9"/>
    <w:rsid w:val="2CD143D4"/>
    <w:rsid w:val="2E277E7A"/>
    <w:rsid w:val="2EA15B44"/>
    <w:rsid w:val="2EB86A27"/>
    <w:rsid w:val="2F290A9C"/>
    <w:rsid w:val="2FA5374C"/>
    <w:rsid w:val="32702835"/>
    <w:rsid w:val="32FC3910"/>
    <w:rsid w:val="33535D17"/>
    <w:rsid w:val="344749A4"/>
    <w:rsid w:val="349E7B29"/>
    <w:rsid w:val="35FF45B2"/>
    <w:rsid w:val="36274EB7"/>
    <w:rsid w:val="36760E7C"/>
    <w:rsid w:val="373B1CC5"/>
    <w:rsid w:val="37B2341F"/>
    <w:rsid w:val="37BF0DEA"/>
    <w:rsid w:val="39156E88"/>
    <w:rsid w:val="3B4B314F"/>
    <w:rsid w:val="3CB41D7B"/>
    <w:rsid w:val="3E0166B6"/>
    <w:rsid w:val="3E795BF9"/>
    <w:rsid w:val="3ED612E5"/>
    <w:rsid w:val="404C4953"/>
    <w:rsid w:val="4056170E"/>
    <w:rsid w:val="419158DF"/>
    <w:rsid w:val="41CC2DBB"/>
    <w:rsid w:val="420605A3"/>
    <w:rsid w:val="42C26572"/>
    <w:rsid w:val="436D126E"/>
    <w:rsid w:val="44A8366B"/>
    <w:rsid w:val="4533347E"/>
    <w:rsid w:val="45DA0EEC"/>
    <w:rsid w:val="462B1998"/>
    <w:rsid w:val="47555307"/>
    <w:rsid w:val="47E50732"/>
    <w:rsid w:val="485001EE"/>
    <w:rsid w:val="485E6681"/>
    <w:rsid w:val="48C26AA4"/>
    <w:rsid w:val="49833028"/>
    <w:rsid w:val="4B7E1738"/>
    <w:rsid w:val="4B832714"/>
    <w:rsid w:val="4BF03D43"/>
    <w:rsid w:val="4DD34263"/>
    <w:rsid w:val="4E0833CC"/>
    <w:rsid w:val="4F211AE6"/>
    <w:rsid w:val="501D438F"/>
    <w:rsid w:val="51917235"/>
    <w:rsid w:val="51EB3792"/>
    <w:rsid w:val="51F72E20"/>
    <w:rsid w:val="52770B21"/>
    <w:rsid w:val="5316742D"/>
    <w:rsid w:val="534D59E4"/>
    <w:rsid w:val="54493DF7"/>
    <w:rsid w:val="55B15E40"/>
    <w:rsid w:val="578C73EE"/>
    <w:rsid w:val="582D1B39"/>
    <w:rsid w:val="59B54B6C"/>
    <w:rsid w:val="5A321EAE"/>
    <w:rsid w:val="5BEC57F1"/>
    <w:rsid w:val="5C4F18A5"/>
    <w:rsid w:val="5C6A7000"/>
    <w:rsid w:val="5CD73A78"/>
    <w:rsid w:val="5D0E3E30"/>
    <w:rsid w:val="5F64242D"/>
    <w:rsid w:val="5FCC0564"/>
    <w:rsid w:val="6037544B"/>
    <w:rsid w:val="609D4B8E"/>
    <w:rsid w:val="61005E6D"/>
    <w:rsid w:val="619927F4"/>
    <w:rsid w:val="62691278"/>
    <w:rsid w:val="639E7930"/>
    <w:rsid w:val="649935A9"/>
    <w:rsid w:val="658E3CF3"/>
    <w:rsid w:val="65BD63F3"/>
    <w:rsid w:val="65D54A1B"/>
    <w:rsid w:val="661B424C"/>
    <w:rsid w:val="66842C9B"/>
    <w:rsid w:val="68615F0F"/>
    <w:rsid w:val="68B71750"/>
    <w:rsid w:val="692A0243"/>
    <w:rsid w:val="6AA92256"/>
    <w:rsid w:val="6ADE5D89"/>
    <w:rsid w:val="6B807797"/>
    <w:rsid w:val="6C74516C"/>
    <w:rsid w:val="6DA12C37"/>
    <w:rsid w:val="6DFD69EA"/>
    <w:rsid w:val="6E692742"/>
    <w:rsid w:val="6F7E44D5"/>
    <w:rsid w:val="6F8F0DA8"/>
    <w:rsid w:val="71B8714E"/>
    <w:rsid w:val="73154790"/>
    <w:rsid w:val="75243D99"/>
    <w:rsid w:val="76130170"/>
    <w:rsid w:val="776F59CC"/>
    <w:rsid w:val="77C76754"/>
    <w:rsid w:val="77CE4490"/>
    <w:rsid w:val="780B7006"/>
    <w:rsid w:val="786D1381"/>
    <w:rsid w:val="78EF7A9B"/>
    <w:rsid w:val="79DE5637"/>
    <w:rsid w:val="7A3642F9"/>
    <w:rsid w:val="7B234AF2"/>
    <w:rsid w:val="7BAE78E8"/>
    <w:rsid w:val="7BFF730D"/>
    <w:rsid w:val="7D767D8A"/>
    <w:rsid w:val="7D9F4BB1"/>
    <w:rsid w:val="7E3F09D6"/>
    <w:rsid w:val="7F2A4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lang w:val="en-US" w:eastAsia="zh-CN" w:bidi="ar-SA"/>
    </w:rPr>
  </w:style>
  <w:style w:type="paragraph" w:styleId="2">
    <w:name w:val="heading 1"/>
    <w:basedOn w:val="1"/>
    <w:next w:val="1"/>
    <w:link w:val="57"/>
    <w:qFormat/>
    <w:uiPriority w:val="0"/>
    <w:pPr>
      <w:keepNext/>
      <w:adjustRightInd w:val="0"/>
      <w:snapToGrid w:val="0"/>
      <w:spacing w:line="360" w:lineRule="auto"/>
      <w:jc w:val="center"/>
      <w:outlineLvl w:val="0"/>
    </w:pPr>
    <w:rPr>
      <w:rFonts w:ascii="华文中宋" w:hAnsi="华文中宋"/>
      <w:b/>
      <w:snapToGrid w:val="0"/>
      <w:kern w:val="0"/>
      <w:sz w:val="30"/>
    </w:rPr>
  </w:style>
  <w:style w:type="paragraph" w:styleId="3">
    <w:name w:val="heading 2"/>
    <w:basedOn w:val="1"/>
    <w:next w:val="1"/>
    <w:link w:val="58"/>
    <w:qFormat/>
    <w:uiPriority w:val="0"/>
    <w:pPr>
      <w:keepNext/>
      <w:keepLines/>
      <w:spacing w:before="260" w:after="260" w:line="413" w:lineRule="auto"/>
      <w:jc w:val="center"/>
      <w:outlineLvl w:val="1"/>
    </w:pPr>
    <w:rPr>
      <w:rFonts w:ascii="Arial" w:hAnsi="Arial" w:eastAsia="宋体"/>
      <w:b/>
      <w:sz w:val="28"/>
    </w:rPr>
  </w:style>
  <w:style w:type="paragraph" w:styleId="4">
    <w:name w:val="heading 3"/>
    <w:basedOn w:val="1"/>
    <w:next w:val="1"/>
    <w:link w:val="59"/>
    <w:qFormat/>
    <w:uiPriority w:val="0"/>
    <w:pPr>
      <w:keepNext/>
      <w:keepLines/>
      <w:spacing w:before="260" w:after="260" w:line="413" w:lineRule="auto"/>
      <w:outlineLvl w:val="2"/>
    </w:pPr>
    <w:rPr>
      <w:b/>
      <w:sz w:val="32"/>
    </w:rPr>
  </w:style>
  <w:style w:type="paragraph" w:styleId="5">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60"/>
    <w:qFormat/>
    <w:uiPriority w:val="0"/>
    <w:pPr>
      <w:keepNext/>
      <w:keepLines/>
      <w:overflowPunct w:val="0"/>
      <w:autoSpaceDE w:val="0"/>
      <w:autoSpaceDN w:val="0"/>
      <w:adjustRightInd w:val="0"/>
      <w:spacing w:before="280" w:after="290" w:line="376" w:lineRule="auto"/>
      <w:ind w:firstLine="510"/>
      <w:textAlignment w:val="baseline"/>
      <w:outlineLvl w:val="4"/>
    </w:pPr>
    <w:rPr>
      <w:rFonts w:ascii="宋体" w:eastAsia="宋体"/>
      <w:b/>
      <w:bCs/>
      <w:kern w:val="0"/>
      <w:sz w:val="28"/>
      <w:szCs w:val="28"/>
    </w:rPr>
  </w:style>
  <w:style w:type="paragraph" w:styleId="7">
    <w:name w:val="heading 6"/>
    <w:basedOn w:val="1"/>
    <w:next w:val="1"/>
    <w:link w:val="109"/>
    <w:qFormat/>
    <w:uiPriority w:val="0"/>
    <w:pPr>
      <w:keepNext/>
      <w:keepLines/>
      <w:tabs>
        <w:tab w:val="left" w:pos="1152"/>
      </w:tabs>
      <w:spacing w:before="240" w:after="64" w:line="320" w:lineRule="auto"/>
      <w:ind w:left="1152" w:hanging="1152"/>
      <w:outlineLvl w:val="5"/>
    </w:pPr>
    <w:rPr>
      <w:rFonts w:ascii="Arial" w:hAnsi="Arial" w:eastAsia="黑体"/>
      <w:b/>
      <w:bCs/>
      <w:szCs w:val="24"/>
    </w:rPr>
  </w:style>
  <w:style w:type="paragraph" w:styleId="8">
    <w:name w:val="heading 7"/>
    <w:basedOn w:val="1"/>
    <w:next w:val="1"/>
    <w:link w:val="61"/>
    <w:qFormat/>
    <w:uiPriority w:val="0"/>
    <w:pPr>
      <w:keepNext/>
      <w:keepLines/>
      <w:spacing w:before="240" w:after="64" w:line="317" w:lineRule="auto"/>
      <w:outlineLvl w:val="6"/>
    </w:pPr>
    <w:rPr>
      <w:rFonts w:eastAsia="宋体"/>
      <w:b/>
    </w:rPr>
  </w:style>
  <w:style w:type="paragraph" w:styleId="9">
    <w:name w:val="heading 8"/>
    <w:basedOn w:val="1"/>
    <w:next w:val="1"/>
    <w:link w:val="110"/>
    <w:qFormat/>
    <w:uiPriority w:val="0"/>
    <w:pPr>
      <w:keepNext/>
      <w:keepLines/>
      <w:tabs>
        <w:tab w:val="left" w:pos="1440"/>
      </w:tabs>
      <w:spacing w:before="240" w:after="64" w:line="320" w:lineRule="auto"/>
      <w:ind w:left="1440" w:hanging="1440"/>
      <w:outlineLvl w:val="7"/>
    </w:pPr>
    <w:rPr>
      <w:rFonts w:ascii="Arial" w:hAnsi="Arial" w:eastAsia="黑体"/>
      <w:szCs w:val="24"/>
    </w:rPr>
  </w:style>
  <w:style w:type="paragraph" w:styleId="10">
    <w:name w:val="heading 9"/>
    <w:basedOn w:val="1"/>
    <w:next w:val="1"/>
    <w:link w:val="111"/>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style>
  <w:style w:type="paragraph" w:styleId="12">
    <w:name w:val="toc 7"/>
    <w:basedOn w:val="1"/>
    <w:next w:val="1"/>
    <w:qFormat/>
    <w:uiPriority w:val="39"/>
    <w:pPr>
      <w:ind w:left="1440"/>
      <w:jc w:val="left"/>
    </w:pPr>
    <w:rPr>
      <w:sz w:val="18"/>
    </w:rPr>
  </w:style>
  <w:style w:type="paragraph" w:styleId="13">
    <w:name w:val="Normal Indent"/>
    <w:basedOn w:val="1"/>
    <w:qFormat/>
    <w:uiPriority w:val="0"/>
    <w:pPr>
      <w:ind w:firstLine="420"/>
    </w:pPr>
    <w:rPr>
      <w:rFonts w:eastAsia="宋体"/>
      <w:sz w:val="21"/>
    </w:rPr>
  </w:style>
  <w:style w:type="paragraph" w:styleId="14">
    <w:name w:val="caption"/>
    <w:basedOn w:val="1"/>
    <w:next w:val="1"/>
    <w:qFormat/>
    <w:uiPriority w:val="0"/>
    <w:pPr>
      <w:tabs>
        <w:tab w:val="left" w:pos="1560"/>
      </w:tabs>
      <w:spacing w:line="560" w:lineRule="exact"/>
    </w:pPr>
    <w:rPr>
      <w:rFonts w:ascii="宋体" w:hAnsi="宋体" w:eastAsia="宋体"/>
      <w:b/>
    </w:rPr>
  </w:style>
  <w:style w:type="paragraph" w:styleId="15">
    <w:name w:val="Document Map"/>
    <w:basedOn w:val="1"/>
    <w:link w:val="82"/>
    <w:qFormat/>
    <w:uiPriority w:val="0"/>
    <w:pPr>
      <w:shd w:val="clear" w:color="auto" w:fill="000080"/>
    </w:pPr>
  </w:style>
  <w:style w:type="paragraph" w:styleId="16">
    <w:name w:val="annotation text"/>
    <w:basedOn w:val="1"/>
    <w:link w:val="76"/>
    <w:qFormat/>
    <w:uiPriority w:val="0"/>
    <w:pPr>
      <w:jc w:val="left"/>
    </w:pPr>
    <w:rPr>
      <w:rFonts w:eastAsia="宋体"/>
      <w:sz w:val="21"/>
    </w:rPr>
  </w:style>
  <w:style w:type="paragraph" w:styleId="17">
    <w:name w:val="Body Text 3"/>
    <w:basedOn w:val="1"/>
    <w:link w:val="87"/>
    <w:qFormat/>
    <w:uiPriority w:val="0"/>
    <w:pPr>
      <w:spacing w:after="120"/>
    </w:pPr>
    <w:rPr>
      <w:sz w:val="16"/>
      <w:szCs w:val="16"/>
    </w:rPr>
  </w:style>
  <w:style w:type="paragraph" w:styleId="18">
    <w:name w:val="Body Text"/>
    <w:basedOn w:val="1"/>
    <w:link w:val="79"/>
    <w:qFormat/>
    <w:uiPriority w:val="0"/>
    <w:pPr>
      <w:snapToGrid w:val="0"/>
      <w:spacing w:before="120" w:after="120" w:line="360" w:lineRule="auto"/>
    </w:pPr>
    <w:rPr>
      <w:rFonts w:ascii="宋体" w:hAnsi="宋体" w:eastAsia="宋体"/>
    </w:rPr>
  </w:style>
  <w:style w:type="paragraph" w:styleId="19">
    <w:name w:val="Body Text Indent"/>
    <w:basedOn w:val="1"/>
    <w:link w:val="67"/>
    <w:qFormat/>
    <w:uiPriority w:val="0"/>
    <w:pPr>
      <w:widowControl/>
      <w:ind w:firstLine="560" w:firstLineChars="200"/>
    </w:pPr>
    <w:rPr>
      <w:rFonts w:ascii="楷体_GB2312" w:eastAsia="楷体_GB2312"/>
      <w:sz w:val="28"/>
    </w:rPr>
  </w:style>
  <w:style w:type="paragraph" w:styleId="20">
    <w:name w:val="List 2"/>
    <w:basedOn w:val="1"/>
    <w:qFormat/>
    <w:uiPriority w:val="0"/>
    <w:pPr>
      <w:ind w:left="100" w:leftChars="200" w:hanging="200" w:hangingChars="200"/>
      <w:contextualSpacing/>
    </w:pPr>
  </w:style>
  <w:style w:type="paragraph" w:styleId="21">
    <w:name w:val="Block Text"/>
    <w:basedOn w:val="1"/>
    <w:qFormat/>
    <w:uiPriority w:val="0"/>
    <w:pPr>
      <w:spacing w:line="360" w:lineRule="auto"/>
      <w:ind w:left="564" w:right="26"/>
    </w:pPr>
    <w:rPr>
      <w:rFonts w:ascii="宋体" w:eastAsia="宋体"/>
      <w:color w:val="000000"/>
      <w:sz w:val="21"/>
    </w:rPr>
  </w:style>
  <w:style w:type="paragraph" w:styleId="22">
    <w:name w:val="toc 5"/>
    <w:basedOn w:val="1"/>
    <w:next w:val="1"/>
    <w:qFormat/>
    <w:uiPriority w:val="39"/>
    <w:pPr>
      <w:ind w:left="960"/>
      <w:jc w:val="left"/>
    </w:pPr>
    <w:rPr>
      <w:sz w:val="18"/>
    </w:rPr>
  </w:style>
  <w:style w:type="paragraph" w:styleId="23">
    <w:name w:val="toc 3"/>
    <w:basedOn w:val="1"/>
    <w:next w:val="1"/>
    <w:qFormat/>
    <w:uiPriority w:val="39"/>
    <w:pPr>
      <w:ind w:left="480"/>
      <w:jc w:val="left"/>
    </w:pPr>
    <w:rPr>
      <w:i/>
      <w:sz w:val="20"/>
    </w:rPr>
  </w:style>
  <w:style w:type="paragraph" w:styleId="24">
    <w:name w:val="Plain Text"/>
    <w:basedOn w:val="1"/>
    <w:link w:val="80"/>
    <w:qFormat/>
    <w:uiPriority w:val="0"/>
    <w:rPr>
      <w:rFonts w:ascii="宋体" w:hAnsi="Courier New" w:eastAsia="宋体"/>
      <w:sz w:val="21"/>
    </w:rPr>
  </w:style>
  <w:style w:type="paragraph" w:styleId="25">
    <w:name w:val="toc 8"/>
    <w:basedOn w:val="1"/>
    <w:next w:val="1"/>
    <w:qFormat/>
    <w:uiPriority w:val="39"/>
    <w:pPr>
      <w:ind w:left="1680"/>
      <w:jc w:val="left"/>
    </w:pPr>
    <w:rPr>
      <w:sz w:val="18"/>
    </w:rPr>
  </w:style>
  <w:style w:type="paragraph" w:styleId="26">
    <w:name w:val="index 3"/>
    <w:basedOn w:val="1"/>
    <w:next w:val="1"/>
    <w:qFormat/>
    <w:uiPriority w:val="0"/>
    <w:pPr>
      <w:ind w:left="400" w:leftChars="400"/>
    </w:pPr>
  </w:style>
  <w:style w:type="paragraph" w:styleId="27">
    <w:name w:val="Date"/>
    <w:basedOn w:val="1"/>
    <w:next w:val="1"/>
    <w:link w:val="62"/>
    <w:qFormat/>
    <w:uiPriority w:val="0"/>
    <w:rPr>
      <w:rFonts w:eastAsia="宋体" w:asciiTheme="minorHAnsi" w:hAnsiTheme="minorHAnsi" w:cstheme="minorBidi"/>
      <w:sz w:val="21"/>
      <w:szCs w:val="22"/>
    </w:rPr>
  </w:style>
  <w:style w:type="paragraph" w:styleId="28">
    <w:name w:val="Body Text Indent 2"/>
    <w:basedOn w:val="1"/>
    <w:link w:val="72"/>
    <w:qFormat/>
    <w:uiPriority w:val="0"/>
    <w:pPr>
      <w:tabs>
        <w:tab w:val="left" w:pos="0"/>
      </w:tabs>
      <w:adjustRightInd w:val="0"/>
      <w:spacing w:line="360" w:lineRule="auto"/>
      <w:ind w:firstLine="525"/>
    </w:pPr>
    <w:rPr>
      <w:rFonts w:hint="eastAsia" w:ascii="宋体" w:eastAsia="宋体"/>
      <w:kern w:val="0"/>
    </w:rPr>
  </w:style>
  <w:style w:type="paragraph" w:styleId="29">
    <w:name w:val="Balloon Text"/>
    <w:basedOn w:val="1"/>
    <w:link w:val="73"/>
    <w:qFormat/>
    <w:uiPriority w:val="99"/>
    <w:rPr>
      <w:sz w:val="18"/>
    </w:rPr>
  </w:style>
  <w:style w:type="paragraph" w:styleId="30">
    <w:name w:val="footer"/>
    <w:basedOn w:val="1"/>
    <w:link w:val="68"/>
    <w:qFormat/>
    <w:uiPriority w:val="0"/>
    <w:pPr>
      <w:tabs>
        <w:tab w:val="center" w:pos="4153"/>
        <w:tab w:val="right" w:pos="8306"/>
      </w:tabs>
      <w:snapToGrid w:val="0"/>
      <w:jc w:val="left"/>
    </w:pPr>
    <w:rPr>
      <w:sz w:val="18"/>
    </w:rPr>
  </w:style>
  <w:style w:type="paragraph" w:styleId="31">
    <w:name w:val="envelope return"/>
    <w:basedOn w:val="1"/>
    <w:qFormat/>
    <w:uiPriority w:val="0"/>
    <w:pPr>
      <w:widowControl/>
      <w:jc w:val="left"/>
    </w:pPr>
    <w:rPr>
      <w:rFonts w:ascii="Garamond" w:hAnsi="Garamond" w:eastAsia="宋体"/>
      <w:kern w:val="0"/>
      <w:sz w:val="22"/>
    </w:rPr>
  </w:style>
  <w:style w:type="paragraph" w:styleId="32">
    <w:name w:val="header"/>
    <w:basedOn w:val="1"/>
    <w:link w:val="6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qFormat/>
    <w:uiPriority w:val="39"/>
    <w:pPr>
      <w:ind w:left="720"/>
      <w:jc w:val="left"/>
    </w:pPr>
    <w:rPr>
      <w:sz w:val="18"/>
    </w:rPr>
  </w:style>
  <w:style w:type="paragraph" w:styleId="35">
    <w:name w:val="Subtitle"/>
    <w:basedOn w:val="1"/>
    <w:next w:val="1"/>
    <w:link w:val="97"/>
    <w:qFormat/>
    <w:uiPriority w:val="0"/>
    <w:pPr>
      <w:spacing w:before="240" w:after="60" w:line="312" w:lineRule="auto"/>
      <w:jc w:val="center"/>
      <w:outlineLvl w:val="1"/>
    </w:pPr>
    <w:rPr>
      <w:rFonts w:ascii="Cambria" w:hAnsi="Cambria" w:eastAsia="宋体"/>
      <w:b/>
      <w:bCs/>
      <w:kern w:val="28"/>
      <w:sz w:val="32"/>
      <w:szCs w:val="32"/>
    </w:rPr>
  </w:style>
  <w:style w:type="paragraph" w:styleId="36">
    <w:name w:val="toc 6"/>
    <w:basedOn w:val="1"/>
    <w:next w:val="1"/>
    <w:qFormat/>
    <w:uiPriority w:val="39"/>
    <w:pPr>
      <w:ind w:left="1200"/>
      <w:jc w:val="left"/>
    </w:pPr>
    <w:rPr>
      <w:sz w:val="18"/>
    </w:rPr>
  </w:style>
  <w:style w:type="paragraph" w:styleId="37">
    <w:name w:val="List 5"/>
    <w:basedOn w:val="1"/>
    <w:qFormat/>
    <w:uiPriority w:val="0"/>
    <w:pPr>
      <w:ind w:left="2100" w:hanging="420"/>
    </w:pPr>
    <w:rPr>
      <w:rFonts w:eastAsia="宋体"/>
      <w:sz w:val="21"/>
    </w:rPr>
  </w:style>
  <w:style w:type="paragraph" w:styleId="38">
    <w:name w:val="Body Text Indent 3"/>
    <w:basedOn w:val="1"/>
    <w:link w:val="83"/>
    <w:qFormat/>
    <w:uiPriority w:val="0"/>
    <w:pPr>
      <w:adjustRightInd w:val="0"/>
      <w:snapToGrid w:val="0"/>
      <w:spacing w:line="360" w:lineRule="auto"/>
      <w:ind w:firstLine="600" w:firstLineChars="250"/>
    </w:pPr>
    <w:rPr>
      <w:rFonts w:ascii="宋体" w:hAnsi="宋体" w:eastAsia="宋体"/>
    </w:rPr>
  </w:style>
  <w:style w:type="paragraph" w:styleId="39">
    <w:name w:val="toc 2"/>
    <w:basedOn w:val="1"/>
    <w:next w:val="1"/>
    <w:qFormat/>
    <w:uiPriority w:val="39"/>
    <w:pPr>
      <w:ind w:left="240"/>
      <w:jc w:val="left"/>
    </w:pPr>
    <w:rPr>
      <w:smallCaps/>
      <w:sz w:val="20"/>
    </w:rPr>
  </w:style>
  <w:style w:type="paragraph" w:styleId="40">
    <w:name w:val="toc 9"/>
    <w:basedOn w:val="1"/>
    <w:next w:val="1"/>
    <w:qFormat/>
    <w:uiPriority w:val="39"/>
    <w:pPr>
      <w:ind w:left="1920"/>
      <w:jc w:val="left"/>
    </w:pPr>
    <w:rPr>
      <w:sz w:val="18"/>
    </w:rPr>
  </w:style>
  <w:style w:type="paragraph" w:styleId="41">
    <w:name w:val="Body Text 2"/>
    <w:basedOn w:val="1"/>
    <w:link w:val="77"/>
    <w:qFormat/>
    <w:uiPriority w:val="0"/>
    <w:pPr>
      <w:snapToGrid w:val="0"/>
      <w:spacing w:before="120" w:after="120"/>
    </w:pPr>
    <w:rPr>
      <w:rFonts w:ascii="宋体" w:eastAsia="宋体"/>
    </w:rPr>
  </w:style>
  <w:style w:type="paragraph" w:styleId="42">
    <w:name w:val="Normal (Web)"/>
    <w:basedOn w:val="1"/>
    <w:qFormat/>
    <w:uiPriority w:val="0"/>
    <w:pPr>
      <w:widowControl/>
      <w:spacing w:before="100" w:beforeAutospacing="1" w:after="100" w:afterAutospacing="1"/>
      <w:jc w:val="left"/>
    </w:pPr>
    <w:rPr>
      <w:rFonts w:ascii="宋体" w:hAnsi="宋体" w:eastAsia="宋体"/>
      <w:kern w:val="0"/>
    </w:rPr>
  </w:style>
  <w:style w:type="paragraph" w:styleId="43">
    <w:name w:val="index 1"/>
    <w:basedOn w:val="1"/>
    <w:next w:val="1"/>
    <w:qFormat/>
    <w:uiPriority w:val="0"/>
  </w:style>
  <w:style w:type="paragraph" w:styleId="44">
    <w:name w:val="index 2"/>
    <w:basedOn w:val="1"/>
    <w:next w:val="1"/>
    <w:qFormat/>
    <w:uiPriority w:val="0"/>
    <w:pPr>
      <w:ind w:left="200" w:leftChars="200"/>
    </w:pPr>
  </w:style>
  <w:style w:type="paragraph" w:styleId="45">
    <w:name w:val="Title"/>
    <w:basedOn w:val="1"/>
    <w:next w:val="1"/>
    <w:link w:val="88"/>
    <w:qFormat/>
    <w:uiPriority w:val="0"/>
    <w:pPr>
      <w:spacing w:before="240" w:after="60"/>
      <w:jc w:val="center"/>
      <w:outlineLvl w:val="0"/>
    </w:pPr>
    <w:rPr>
      <w:rFonts w:ascii="Cambria" w:hAnsi="Cambria" w:eastAsia="宋体"/>
      <w:b/>
      <w:bCs/>
      <w:sz w:val="32"/>
      <w:szCs w:val="32"/>
    </w:rPr>
  </w:style>
  <w:style w:type="paragraph" w:styleId="46">
    <w:name w:val="annotation subject"/>
    <w:basedOn w:val="16"/>
    <w:next w:val="16"/>
    <w:link w:val="98"/>
    <w:qFormat/>
    <w:uiPriority w:val="0"/>
    <w:rPr>
      <w:rFonts w:eastAsia="华文中宋"/>
      <w:b/>
      <w:bCs/>
      <w:sz w:val="24"/>
    </w:rPr>
  </w:style>
  <w:style w:type="paragraph" w:styleId="47">
    <w:name w:val="Body Text First Indent"/>
    <w:basedOn w:val="18"/>
    <w:link w:val="106"/>
    <w:qFormat/>
    <w:uiPriority w:val="0"/>
    <w:pPr>
      <w:snapToGrid/>
      <w:spacing w:before="0"/>
      <w:ind w:firstLine="420" w:firstLineChars="100"/>
    </w:pPr>
    <w:rPr>
      <w:rFonts w:ascii="Times New Roman" w:hAnsi="Times New Roman"/>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1 Char"/>
    <w:basedOn w:val="50"/>
    <w:link w:val="2"/>
    <w:qFormat/>
    <w:uiPriority w:val="0"/>
    <w:rPr>
      <w:rFonts w:ascii="华文中宋" w:hAnsi="华文中宋" w:eastAsia="华文中宋" w:cs="Times New Roman"/>
      <w:b/>
      <w:snapToGrid w:val="0"/>
      <w:kern w:val="0"/>
      <w:sz w:val="30"/>
      <w:szCs w:val="20"/>
    </w:rPr>
  </w:style>
  <w:style w:type="character" w:customStyle="1" w:styleId="58">
    <w:name w:val="标题 2 Char"/>
    <w:basedOn w:val="50"/>
    <w:link w:val="3"/>
    <w:qFormat/>
    <w:uiPriority w:val="0"/>
    <w:rPr>
      <w:rFonts w:ascii="Arial" w:hAnsi="Arial" w:eastAsia="宋体" w:cs="Times New Roman"/>
      <w:b/>
      <w:sz w:val="28"/>
      <w:szCs w:val="20"/>
    </w:rPr>
  </w:style>
  <w:style w:type="character" w:customStyle="1" w:styleId="59">
    <w:name w:val="标题 3 Char"/>
    <w:basedOn w:val="50"/>
    <w:link w:val="4"/>
    <w:qFormat/>
    <w:uiPriority w:val="0"/>
    <w:rPr>
      <w:rFonts w:ascii="Times New Roman" w:hAnsi="Times New Roman" w:eastAsia="华文中宋" w:cs="Times New Roman"/>
      <w:b/>
      <w:sz w:val="32"/>
      <w:szCs w:val="20"/>
    </w:rPr>
  </w:style>
  <w:style w:type="character" w:customStyle="1" w:styleId="60">
    <w:name w:val="标题 5 Char"/>
    <w:basedOn w:val="50"/>
    <w:link w:val="6"/>
    <w:qFormat/>
    <w:uiPriority w:val="0"/>
    <w:rPr>
      <w:rFonts w:ascii="宋体" w:hAnsi="Times New Roman" w:eastAsia="宋体" w:cs="Times New Roman"/>
      <w:b/>
      <w:bCs/>
      <w:kern w:val="0"/>
      <w:sz w:val="28"/>
      <w:szCs w:val="28"/>
    </w:rPr>
  </w:style>
  <w:style w:type="character" w:customStyle="1" w:styleId="61">
    <w:name w:val="标题 7 Char"/>
    <w:basedOn w:val="50"/>
    <w:link w:val="8"/>
    <w:qFormat/>
    <w:uiPriority w:val="0"/>
    <w:rPr>
      <w:rFonts w:ascii="Times New Roman" w:hAnsi="Times New Roman" w:eastAsia="宋体" w:cs="Times New Roman"/>
      <w:b/>
      <w:sz w:val="24"/>
      <w:szCs w:val="20"/>
    </w:rPr>
  </w:style>
  <w:style w:type="character" w:customStyle="1" w:styleId="62">
    <w:name w:val="日期 Char"/>
    <w:link w:val="27"/>
    <w:qFormat/>
    <w:uiPriority w:val="0"/>
    <w:rPr>
      <w:rFonts w:eastAsia="宋体"/>
    </w:rPr>
  </w:style>
  <w:style w:type="character" w:customStyle="1" w:styleId="63">
    <w:name w:val="页眉 Char"/>
    <w:link w:val="32"/>
    <w:qFormat/>
    <w:uiPriority w:val="0"/>
    <w:rPr>
      <w:rFonts w:eastAsia="华文中宋"/>
      <w:sz w:val="18"/>
    </w:rPr>
  </w:style>
  <w:style w:type="character" w:customStyle="1" w:styleId="64">
    <w:name w:val="标题 2 Char Char"/>
    <w:qFormat/>
    <w:uiPriority w:val="0"/>
    <w:rPr>
      <w:rFonts w:ascii="华文琥珀" w:eastAsia="华文琥珀"/>
      <w:b/>
      <w:color w:val="003366"/>
      <w:spacing w:val="20"/>
      <w:kern w:val="2"/>
      <w:sz w:val="28"/>
      <w:lang w:val="en-US" w:eastAsia="zh-CN"/>
    </w:rPr>
  </w:style>
  <w:style w:type="paragraph" w:customStyle="1" w:styleId="65">
    <w:name w:val="font0"/>
    <w:basedOn w:val="1"/>
    <w:qFormat/>
    <w:uiPriority w:val="0"/>
    <w:pPr>
      <w:widowControl/>
      <w:spacing w:before="100" w:beforeAutospacing="1" w:after="100" w:afterAutospacing="1"/>
      <w:jc w:val="left"/>
    </w:pPr>
    <w:rPr>
      <w:rFonts w:hint="eastAsia" w:ascii="宋体" w:hAnsi="宋体" w:eastAsia="宋体"/>
      <w:kern w:val="0"/>
    </w:rPr>
  </w:style>
  <w:style w:type="paragraph" w:customStyle="1" w:styleId="66">
    <w:name w:val="样式1"/>
    <w:basedOn w:val="1"/>
    <w:next w:val="1"/>
    <w:qFormat/>
    <w:uiPriority w:val="0"/>
    <w:pPr>
      <w:autoSpaceDE w:val="0"/>
      <w:autoSpaceDN w:val="0"/>
      <w:adjustRightInd w:val="0"/>
      <w:spacing w:before="60" w:after="60"/>
      <w:jc w:val="center"/>
      <w:textAlignment w:val="baseline"/>
    </w:pPr>
    <w:rPr>
      <w:rFonts w:ascii="宋体" w:eastAsia="宋体"/>
      <w:b/>
      <w:kern w:val="0"/>
      <w:sz w:val="28"/>
    </w:rPr>
  </w:style>
  <w:style w:type="character" w:customStyle="1" w:styleId="67">
    <w:name w:val="正文文本缩进 Char"/>
    <w:basedOn w:val="50"/>
    <w:link w:val="19"/>
    <w:qFormat/>
    <w:uiPriority w:val="0"/>
    <w:rPr>
      <w:rFonts w:ascii="楷体_GB2312" w:hAnsi="Times New Roman" w:eastAsia="楷体_GB2312" w:cs="Times New Roman"/>
      <w:sz w:val="28"/>
      <w:szCs w:val="20"/>
    </w:rPr>
  </w:style>
  <w:style w:type="character" w:customStyle="1" w:styleId="68">
    <w:name w:val="页脚 Char"/>
    <w:basedOn w:val="50"/>
    <w:link w:val="30"/>
    <w:qFormat/>
    <w:uiPriority w:val="99"/>
    <w:rPr>
      <w:rFonts w:ascii="Times New Roman" w:hAnsi="Times New Roman" w:eastAsia="华文中宋" w:cs="Times New Roman"/>
      <w:sz w:val="18"/>
      <w:szCs w:val="20"/>
    </w:rPr>
  </w:style>
  <w:style w:type="paragraph" w:customStyle="1" w:styleId="69">
    <w:name w:val="xl32"/>
    <w:basedOn w:val="1"/>
    <w:qFormat/>
    <w:uiPriority w:val="0"/>
    <w:pPr>
      <w:widowControl/>
      <w:spacing w:before="100" w:beforeAutospacing="1" w:after="100" w:afterAutospacing="1"/>
      <w:jc w:val="center"/>
    </w:pPr>
    <w:rPr>
      <w:rFonts w:hint="eastAsia" w:ascii="仿宋_GB2312" w:hAnsi="宋体" w:eastAsia="仿宋_GB2312"/>
      <w:b/>
      <w:kern w:val="0"/>
      <w:sz w:val="32"/>
    </w:rPr>
  </w:style>
  <w:style w:type="paragraph" w:customStyle="1" w:styleId="70">
    <w:name w:val="字元 字元 Char Char"/>
    <w:basedOn w:val="15"/>
    <w:qFormat/>
    <w:uiPriority w:val="0"/>
    <w:pPr>
      <w:adjustRightInd w:val="0"/>
      <w:spacing w:line="436" w:lineRule="exact"/>
      <w:ind w:left="357"/>
      <w:jc w:val="left"/>
      <w:outlineLvl w:val="3"/>
    </w:pPr>
    <w:rPr>
      <w:rFonts w:ascii="Tahoma" w:hAnsi="Tahoma" w:eastAsia="宋体"/>
      <w:b/>
    </w:rPr>
  </w:style>
  <w:style w:type="character" w:customStyle="1" w:styleId="71">
    <w:name w:val="页眉 Char1"/>
    <w:basedOn w:val="50"/>
    <w:semiHidden/>
    <w:qFormat/>
    <w:uiPriority w:val="99"/>
    <w:rPr>
      <w:rFonts w:ascii="Times New Roman" w:hAnsi="Times New Roman" w:eastAsia="华文中宋" w:cs="Times New Roman"/>
      <w:sz w:val="18"/>
      <w:szCs w:val="18"/>
    </w:rPr>
  </w:style>
  <w:style w:type="character" w:customStyle="1" w:styleId="72">
    <w:name w:val="正文文本缩进 2 Char"/>
    <w:basedOn w:val="50"/>
    <w:link w:val="28"/>
    <w:qFormat/>
    <w:uiPriority w:val="0"/>
    <w:rPr>
      <w:rFonts w:ascii="宋体" w:hAnsi="Times New Roman" w:eastAsia="宋体" w:cs="Times New Roman"/>
      <w:kern w:val="0"/>
      <w:sz w:val="24"/>
      <w:szCs w:val="20"/>
    </w:rPr>
  </w:style>
  <w:style w:type="character" w:customStyle="1" w:styleId="73">
    <w:name w:val="批注框文本 Char"/>
    <w:basedOn w:val="50"/>
    <w:link w:val="29"/>
    <w:qFormat/>
    <w:uiPriority w:val="99"/>
    <w:rPr>
      <w:rFonts w:ascii="Times New Roman" w:hAnsi="Times New Roman" w:eastAsia="华文中宋" w:cs="Times New Roman"/>
      <w:sz w:val="18"/>
      <w:szCs w:val="20"/>
    </w:rPr>
  </w:style>
  <w:style w:type="paragraph" w:customStyle="1" w:styleId="74">
    <w:name w:val="xl3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b/>
      <w:kern w:val="0"/>
      <w:sz w:val="32"/>
    </w:rPr>
  </w:style>
  <w:style w:type="paragraph" w:customStyle="1" w:styleId="75">
    <w:name w:val="Blockquote"/>
    <w:basedOn w:val="1"/>
    <w:qFormat/>
    <w:uiPriority w:val="0"/>
    <w:pPr>
      <w:autoSpaceDE w:val="0"/>
      <w:autoSpaceDN w:val="0"/>
      <w:adjustRightInd w:val="0"/>
      <w:spacing w:before="100" w:after="100"/>
      <w:ind w:left="360" w:right="360"/>
      <w:jc w:val="left"/>
    </w:pPr>
    <w:rPr>
      <w:rFonts w:eastAsia="宋体"/>
      <w:kern w:val="0"/>
    </w:rPr>
  </w:style>
  <w:style w:type="character" w:customStyle="1" w:styleId="76">
    <w:name w:val="批注文字 Char"/>
    <w:basedOn w:val="50"/>
    <w:link w:val="16"/>
    <w:qFormat/>
    <w:uiPriority w:val="0"/>
    <w:rPr>
      <w:rFonts w:ascii="Times New Roman" w:hAnsi="Times New Roman" w:eastAsia="宋体" w:cs="Times New Roman"/>
      <w:szCs w:val="20"/>
    </w:rPr>
  </w:style>
  <w:style w:type="character" w:customStyle="1" w:styleId="77">
    <w:name w:val="正文文本 2 Char"/>
    <w:basedOn w:val="50"/>
    <w:link w:val="41"/>
    <w:qFormat/>
    <w:uiPriority w:val="0"/>
    <w:rPr>
      <w:rFonts w:ascii="宋体" w:hAnsi="Times New Roman" w:eastAsia="宋体" w:cs="Times New Roman"/>
      <w:sz w:val="24"/>
      <w:szCs w:val="20"/>
    </w:rPr>
  </w:style>
  <w:style w:type="paragraph" w:customStyle="1" w:styleId="7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仿宋_GB2312" w:hAnsi="宋体" w:eastAsia="仿宋_GB2312"/>
      <w:kern w:val="0"/>
      <w:sz w:val="28"/>
    </w:rPr>
  </w:style>
  <w:style w:type="character" w:customStyle="1" w:styleId="79">
    <w:name w:val="正文文本 Char"/>
    <w:basedOn w:val="50"/>
    <w:link w:val="18"/>
    <w:qFormat/>
    <w:uiPriority w:val="0"/>
    <w:rPr>
      <w:rFonts w:ascii="宋体" w:hAnsi="宋体" w:eastAsia="宋体" w:cs="Times New Roman"/>
      <w:sz w:val="24"/>
      <w:szCs w:val="20"/>
    </w:rPr>
  </w:style>
  <w:style w:type="character" w:customStyle="1" w:styleId="80">
    <w:name w:val="纯文本 Char"/>
    <w:basedOn w:val="50"/>
    <w:link w:val="24"/>
    <w:qFormat/>
    <w:uiPriority w:val="0"/>
    <w:rPr>
      <w:rFonts w:ascii="宋体" w:hAnsi="Courier New" w:eastAsia="宋体" w:cs="Times New Roman"/>
      <w:szCs w:val="20"/>
    </w:rPr>
  </w:style>
  <w:style w:type="character" w:customStyle="1" w:styleId="81">
    <w:name w:val="日期 Char1"/>
    <w:basedOn w:val="50"/>
    <w:semiHidden/>
    <w:qFormat/>
    <w:uiPriority w:val="99"/>
    <w:rPr>
      <w:rFonts w:ascii="Times New Roman" w:hAnsi="Times New Roman" w:eastAsia="华文中宋" w:cs="Times New Roman"/>
      <w:sz w:val="24"/>
      <w:szCs w:val="20"/>
    </w:rPr>
  </w:style>
  <w:style w:type="character" w:customStyle="1" w:styleId="82">
    <w:name w:val="文档结构图 Char"/>
    <w:basedOn w:val="50"/>
    <w:link w:val="15"/>
    <w:qFormat/>
    <w:uiPriority w:val="0"/>
    <w:rPr>
      <w:rFonts w:ascii="Times New Roman" w:hAnsi="Times New Roman" w:eastAsia="华文中宋" w:cs="Times New Roman"/>
      <w:sz w:val="24"/>
      <w:szCs w:val="20"/>
      <w:shd w:val="clear" w:color="auto" w:fill="000080"/>
    </w:rPr>
  </w:style>
  <w:style w:type="character" w:customStyle="1" w:styleId="83">
    <w:name w:val="正文文本缩进 3 Char"/>
    <w:basedOn w:val="50"/>
    <w:link w:val="38"/>
    <w:qFormat/>
    <w:uiPriority w:val="0"/>
    <w:rPr>
      <w:rFonts w:ascii="宋体" w:hAnsi="宋体" w:eastAsia="宋体" w:cs="Times New Roman"/>
      <w:sz w:val="24"/>
      <w:szCs w:val="20"/>
    </w:rPr>
  </w:style>
  <w:style w:type="paragraph" w:styleId="84">
    <w:name w:val="List Paragraph"/>
    <w:basedOn w:val="1"/>
    <w:link w:val="85"/>
    <w:qFormat/>
    <w:uiPriority w:val="34"/>
    <w:pPr>
      <w:widowControl/>
      <w:adjustRightInd w:val="0"/>
      <w:snapToGrid w:val="0"/>
      <w:spacing w:beforeLines="50" w:after="240"/>
      <w:ind w:firstLine="420" w:firstLineChars="200"/>
    </w:pPr>
    <w:rPr>
      <w:rFonts w:ascii="Tahoma" w:hAnsi="Tahoma" w:eastAsia="微软雅黑"/>
      <w:kern w:val="0"/>
      <w:sz w:val="22"/>
      <w:szCs w:val="22"/>
    </w:rPr>
  </w:style>
  <w:style w:type="character" w:customStyle="1" w:styleId="85">
    <w:name w:val="列出段落 Char"/>
    <w:link w:val="84"/>
    <w:qFormat/>
    <w:uiPriority w:val="34"/>
    <w:rPr>
      <w:rFonts w:ascii="Tahoma" w:hAnsi="Tahoma" w:eastAsia="微软雅黑" w:cs="Times New Roman"/>
      <w:kern w:val="0"/>
      <w:sz w:val="22"/>
    </w:rPr>
  </w:style>
  <w:style w:type="paragraph" w:customStyle="1" w:styleId="86">
    <w:name w:val="默认段落字体 Para Char Char Char Char Char Char Char Char Char1 Char Char Char Char"/>
    <w:basedOn w:val="1"/>
    <w:qFormat/>
    <w:uiPriority w:val="0"/>
    <w:rPr>
      <w:rFonts w:ascii="Tahoma" w:hAnsi="Tahoma" w:eastAsia="宋体"/>
    </w:rPr>
  </w:style>
  <w:style w:type="character" w:customStyle="1" w:styleId="87">
    <w:name w:val="正文文本 3 Char"/>
    <w:basedOn w:val="50"/>
    <w:link w:val="17"/>
    <w:qFormat/>
    <w:uiPriority w:val="0"/>
    <w:rPr>
      <w:rFonts w:ascii="Times New Roman" w:hAnsi="Times New Roman" w:eastAsia="华文中宋" w:cs="Times New Roman"/>
      <w:sz w:val="16"/>
      <w:szCs w:val="16"/>
    </w:rPr>
  </w:style>
  <w:style w:type="character" w:customStyle="1" w:styleId="88">
    <w:name w:val="标题 Char"/>
    <w:basedOn w:val="50"/>
    <w:link w:val="45"/>
    <w:qFormat/>
    <w:uiPriority w:val="0"/>
    <w:rPr>
      <w:rFonts w:ascii="Cambria" w:hAnsi="Cambria" w:eastAsia="宋体" w:cs="Times New Roman"/>
      <w:b/>
      <w:bCs/>
      <w:sz w:val="32"/>
      <w:szCs w:val="32"/>
    </w:rPr>
  </w:style>
  <w:style w:type="paragraph" w:customStyle="1" w:styleId="89">
    <w:name w:val="TOC 标题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90">
    <w:name w:val="图表 Char Char"/>
    <w:link w:val="91"/>
    <w:qFormat/>
    <w:uiPriority w:val="0"/>
    <w:rPr>
      <w:rFonts w:ascii="宋体" w:cs="宋体"/>
      <w:color w:val="000000"/>
      <w:szCs w:val="21"/>
    </w:rPr>
  </w:style>
  <w:style w:type="paragraph" w:customStyle="1" w:styleId="91">
    <w:name w:val="图表"/>
    <w:basedOn w:val="1"/>
    <w:link w:val="90"/>
    <w:qFormat/>
    <w:uiPriority w:val="0"/>
    <w:pPr>
      <w:autoSpaceDE w:val="0"/>
      <w:autoSpaceDN w:val="0"/>
      <w:adjustRightInd w:val="0"/>
    </w:pPr>
    <w:rPr>
      <w:rFonts w:ascii="宋体" w:cs="宋体" w:hAnsiTheme="minorHAnsi" w:eastAsiaTheme="minorEastAsia"/>
      <w:color w:val="000000"/>
      <w:sz w:val="21"/>
      <w:szCs w:val="21"/>
    </w:rPr>
  </w:style>
  <w:style w:type="paragraph" w:customStyle="1" w:styleId="92">
    <w:name w:val="表头名称"/>
    <w:basedOn w:val="1"/>
    <w:link w:val="93"/>
    <w:qFormat/>
    <w:uiPriority w:val="0"/>
    <w:pPr>
      <w:spacing w:beforeLines="50"/>
      <w:jc w:val="center"/>
    </w:pPr>
    <w:rPr>
      <w:rFonts w:ascii="宋体" w:hAnsi="宋体" w:eastAsia="宋体"/>
      <w:b/>
      <w:sz w:val="21"/>
      <w:szCs w:val="28"/>
    </w:rPr>
  </w:style>
  <w:style w:type="character" w:customStyle="1" w:styleId="93">
    <w:name w:val="表头名称 Char"/>
    <w:link w:val="92"/>
    <w:qFormat/>
    <w:uiPriority w:val="0"/>
    <w:rPr>
      <w:rFonts w:ascii="宋体" w:hAnsi="宋体" w:eastAsia="宋体" w:cs="Times New Roman"/>
      <w:b/>
      <w:szCs w:val="28"/>
    </w:rPr>
  </w:style>
  <w:style w:type="paragraph" w:customStyle="1" w:styleId="94">
    <w:name w:val="biao"/>
    <w:basedOn w:val="1"/>
    <w:qFormat/>
    <w:uiPriority w:val="0"/>
    <w:pPr>
      <w:tabs>
        <w:tab w:val="left" w:pos="2340"/>
      </w:tabs>
      <w:autoSpaceDE w:val="0"/>
      <w:autoSpaceDN w:val="0"/>
      <w:adjustRightInd w:val="0"/>
      <w:spacing w:line="240" w:lineRule="atLeast"/>
      <w:jc w:val="center"/>
    </w:pPr>
    <w:rPr>
      <w:rFonts w:hint="eastAsia" w:ascii="黑体" w:hAnsi="Tms Rmn" w:eastAsia="黑体"/>
      <w:b/>
      <w:bCs/>
      <w:kern w:val="0"/>
      <w:sz w:val="30"/>
    </w:rPr>
  </w:style>
  <w:style w:type="paragraph" w:customStyle="1" w:styleId="95">
    <w:name w:val="Head 4.2"/>
    <w:basedOn w:val="1"/>
    <w:qFormat/>
    <w:uiPriority w:val="0"/>
    <w:pPr>
      <w:widowControl/>
      <w:tabs>
        <w:tab w:val="left" w:pos="360"/>
      </w:tabs>
      <w:suppressAutoHyphens/>
      <w:ind w:left="360" w:hanging="360"/>
      <w:jc w:val="left"/>
    </w:pPr>
    <w:rPr>
      <w:rFonts w:eastAsia="宋体"/>
      <w:b/>
      <w:kern w:val="0"/>
      <w:lang w:eastAsia="en-US"/>
    </w:rPr>
  </w:style>
  <w:style w:type="paragraph" w:customStyle="1" w:styleId="96">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character" w:customStyle="1" w:styleId="97">
    <w:name w:val="副标题 Char"/>
    <w:basedOn w:val="50"/>
    <w:link w:val="35"/>
    <w:qFormat/>
    <w:uiPriority w:val="0"/>
    <w:rPr>
      <w:rFonts w:ascii="Cambria" w:hAnsi="Cambria" w:eastAsia="宋体" w:cs="Times New Roman"/>
      <w:b/>
      <w:bCs/>
      <w:kern w:val="28"/>
      <w:sz w:val="32"/>
      <w:szCs w:val="32"/>
    </w:rPr>
  </w:style>
  <w:style w:type="character" w:customStyle="1" w:styleId="98">
    <w:name w:val="批注主题 Char"/>
    <w:basedOn w:val="76"/>
    <w:link w:val="46"/>
    <w:qFormat/>
    <w:uiPriority w:val="0"/>
    <w:rPr>
      <w:rFonts w:ascii="Times New Roman" w:hAnsi="Times New Roman" w:eastAsia="华文中宋" w:cs="Times New Roman"/>
      <w:b/>
      <w:bCs/>
      <w:sz w:val="24"/>
      <w:szCs w:val="20"/>
    </w:rPr>
  </w:style>
  <w:style w:type="paragraph" w:customStyle="1" w:styleId="99">
    <w:name w:val="Char1 Char Char Char"/>
    <w:basedOn w:val="1"/>
    <w:qFormat/>
    <w:uiPriority w:val="0"/>
    <w:rPr>
      <w:rFonts w:eastAsia="宋体"/>
      <w:sz w:val="21"/>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1">
    <w:name w:val="列出段落1"/>
    <w:basedOn w:val="1"/>
    <w:qFormat/>
    <w:uiPriority w:val="34"/>
    <w:pPr>
      <w:ind w:firstLine="420" w:firstLineChars="200"/>
    </w:pPr>
    <w:rPr>
      <w:rFonts w:asciiTheme="minorHAnsi" w:hAnsiTheme="minorHAnsi" w:eastAsiaTheme="minorEastAsia" w:cstheme="minorBidi"/>
      <w:sz w:val="21"/>
      <w:szCs w:val="22"/>
    </w:rPr>
  </w:style>
  <w:style w:type="paragraph" w:customStyle="1" w:styleId="102">
    <w:name w:val="Char Char Char Char"/>
    <w:basedOn w:val="1"/>
    <w:qFormat/>
    <w:uiPriority w:val="0"/>
    <w:pPr>
      <w:adjustRightInd w:val="0"/>
      <w:snapToGrid w:val="0"/>
      <w:spacing w:beforeLines="50" w:afterLines="50" w:line="360" w:lineRule="auto"/>
      <w:jc w:val="center"/>
    </w:pPr>
    <w:rPr>
      <w:rFonts w:ascii="宋体" w:hAnsi="宋体" w:eastAsia="宋体"/>
      <w:b/>
      <w:color w:val="000000" w:themeColor="text1"/>
      <w:sz w:val="32"/>
      <w:szCs w:val="32"/>
      <w14:textFill>
        <w14:solidFill>
          <w14:schemeClr w14:val="tx1"/>
        </w14:solidFill>
      </w14:textFill>
    </w:rPr>
  </w:style>
  <w:style w:type="paragraph" w:customStyle="1" w:styleId="103">
    <w:name w:val="标准"/>
    <w:basedOn w:val="1"/>
    <w:qFormat/>
    <w:uiPriority w:val="0"/>
    <w:pPr>
      <w:tabs>
        <w:tab w:val="left" w:pos="2280"/>
        <w:tab w:val="left" w:pos="9600"/>
      </w:tabs>
      <w:adjustRightInd w:val="0"/>
      <w:spacing w:line="360" w:lineRule="auto"/>
      <w:ind w:firstLine="200" w:firstLineChars="200"/>
    </w:pPr>
    <w:rPr>
      <w:rFonts w:eastAsia="宋体"/>
      <w:spacing w:val="6"/>
      <w:kern w:val="0"/>
    </w:rPr>
  </w:style>
  <w:style w:type="character" w:customStyle="1" w:styleId="104">
    <w:name w:val="cucd-TB Char Char"/>
    <w:link w:val="105"/>
    <w:qFormat/>
    <w:uiPriority w:val="0"/>
    <w:rPr>
      <w:smallCaps/>
      <w:color w:val="261CDC"/>
      <w:szCs w:val="24"/>
      <w:u w:val="single"/>
    </w:rPr>
  </w:style>
  <w:style w:type="paragraph" w:customStyle="1" w:styleId="105">
    <w:name w:val="cucd-TB"/>
    <w:link w:val="104"/>
    <w:qFormat/>
    <w:uiPriority w:val="0"/>
    <w:pPr>
      <w:spacing w:line="360" w:lineRule="auto"/>
      <w:jc w:val="center"/>
    </w:pPr>
    <w:rPr>
      <w:rFonts w:asciiTheme="minorHAnsi" w:hAnsiTheme="minorHAnsi" w:eastAsiaTheme="minorEastAsia" w:cstheme="minorBidi"/>
      <w:smallCaps/>
      <w:color w:val="261CDC"/>
      <w:kern w:val="2"/>
      <w:sz w:val="21"/>
      <w:szCs w:val="24"/>
      <w:u w:val="single"/>
      <w:lang w:val="en-US" w:eastAsia="zh-CN" w:bidi="ar-SA"/>
    </w:rPr>
  </w:style>
  <w:style w:type="character" w:customStyle="1" w:styleId="106">
    <w:name w:val="正文首行缩进 Char"/>
    <w:basedOn w:val="79"/>
    <w:link w:val="47"/>
    <w:qFormat/>
    <w:uiPriority w:val="0"/>
    <w:rPr>
      <w:rFonts w:ascii="Times New Roman" w:hAnsi="Times New Roman" w:eastAsia="宋体" w:cs="Times New Roman"/>
      <w:sz w:val="24"/>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character" w:customStyle="1" w:styleId="108">
    <w:name w:val="标题 4 Char"/>
    <w:basedOn w:val="50"/>
    <w:link w:val="5"/>
    <w:qFormat/>
    <w:uiPriority w:val="0"/>
    <w:rPr>
      <w:rFonts w:ascii="Arial" w:hAnsi="Arial" w:eastAsia="黑体" w:cs="Times New Roman"/>
      <w:b/>
      <w:bCs/>
      <w:sz w:val="28"/>
      <w:szCs w:val="28"/>
    </w:rPr>
  </w:style>
  <w:style w:type="character" w:customStyle="1" w:styleId="109">
    <w:name w:val="标题 6 Char"/>
    <w:basedOn w:val="50"/>
    <w:link w:val="7"/>
    <w:qFormat/>
    <w:uiPriority w:val="0"/>
    <w:rPr>
      <w:rFonts w:ascii="Arial" w:hAnsi="Arial" w:eastAsia="黑体" w:cs="Times New Roman"/>
      <w:b/>
      <w:bCs/>
      <w:sz w:val="24"/>
      <w:szCs w:val="24"/>
    </w:rPr>
  </w:style>
  <w:style w:type="character" w:customStyle="1" w:styleId="110">
    <w:name w:val="标题 8 Char"/>
    <w:basedOn w:val="50"/>
    <w:link w:val="9"/>
    <w:qFormat/>
    <w:uiPriority w:val="0"/>
    <w:rPr>
      <w:rFonts w:ascii="Arial" w:hAnsi="Arial" w:eastAsia="黑体" w:cs="Times New Roman"/>
      <w:sz w:val="24"/>
      <w:szCs w:val="24"/>
    </w:rPr>
  </w:style>
  <w:style w:type="character" w:customStyle="1" w:styleId="111">
    <w:name w:val="标题 9 Char"/>
    <w:basedOn w:val="50"/>
    <w:link w:val="10"/>
    <w:qFormat/>
    <w:uiPriority w:val="0"/>
    <w:rPr>
      <w:rFonts w:ascii="Arial" w:hAnsi="Arial" w:eastAsia="黑体" w:cs="Times New Roman"/>
      <w:szCs w:val="21"/>
    </w:rPr>
  </w:style>
  <w:style w:type="paragraph" w:customStyle="1" w:styleId="112">
    <w:name w:val="TOC 标题1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113">
    <w:name w:val="投标正文 Char"/>
    <w:link w:val="114"/>
    <w:qFormat/>
    <w:uiPriority w:val="0"/>
    <w:rPr>
      <w:rFonts w:cs="宋体"/>
      <w:sz w:val="24"/>
    </w:rPr>
  </w:style>
  <w:style w:type="paragraph" w:customStyle="1" w:styleId="114">
    <w:name w:val="投标正文"/>
    <w:basedOn w:val="1"/>
    <w:link w:val="113"/>
    <w:qFormat/>
    <w:uiPriority w:val="0"/>
    <w:pPr>
      <w:spacing w:line="360" w:lineRule="auto"/>
      <w:ind w:firstLine="480" w:firstLineChars="200"/>
    </w:pPr>
    <w:rPr>
      <w:rFonts w:cs="宋体" w:asciiTheme="minorHAnsi" w:hAnsiTheme="minorHAnsi" w:eastAsiaTheme="minorEastAsia"/>
      <w:szCs w:val="22"/>
    </w:rPr>
  </w:style>
  <w:style w:type="character" w:customStyle="1" w:styleId="115">
    <w:name w:val="表格中的文字 Char"/>
    <w:link w:val="116"/>
    <w:qFormat/>
    <w:uiPriority w:val="99"/>
    <w:rPr>
      <w:rFonts w:cs="宋体"/>
    </w:rPr>
  </w:style>
  <w:style w:type="paragraph" w:customStyle="1" w:styleId="116">
    <w:name w:val="表格中的文字"/>
    <w:basedOn w:val="114"/>
    <w:next w:val="114"/>
    <w:link w:val="115"/>
    <w:qFormat/>
    <w:uiPriority w:val="99"/>
    <w:pPr>
      <w:spacing w:line="240" w:lineRule="auto"/>
      <w:ind w:firstLine="0" w:firstLineChars="0"/>
      <w:jc w:val="left"/>
    </w:pPr>
    <w:rPr>
      <w:sz w:val="21"/>
    </w:rPr>
  </w:style>
  <w:style w:type="paragraph" w:customStyle="1" w:styleId="117">
    <w:name w:val="表格首行文字"/>
    <w:basedOn w:val="116"/>
    <w:next w:val="114"/>
    <w:qFormat/>
    <w:uiPriority w:val="0"/>
    <w:pPr>
      <w:jc w:val="center"/>
    </w:pPr>
    <w:rPr>
      <w:b/>
    </w:rPr>
  </w:style>
  <w:style w:type="paragraph" w:customStyle="1" w:styleId="118">
    <w:name w:val="_Style 110"/>
    <w:qFormat/>
    <w:uiPriority w:val="0"/>
    <w:rPr>
      <w:rFonts w:asciiTheme="minorHAnsi" w:hAnsiTheme="minorHAnsi" w:eastAsiaTheme="minorEastAsia" w:cstheme="minorBidi"/>
      <w:kern w:val="2"/>
      <w:sz w:val="21"/>
      <w:szCs w:val="22"/>
      <w:lang w:val="en-US" w:eastAsia="zh-CN" w:bidi="ar-SA"/>
    </w:rPr>
  </w:style>
  <w:style w:type="paragraph" w:customStyle="1" w:styleId="119">
    <w:name w:val="缩进"/>
    <w:basedOn w:val="1"/>
    <w:qFormat/>
    <w:uiPriority w:val="0"/>
    <w:pPr>
      <w:spacing w:line="480" w:lineRule="exact"/>
      <w:ind w:firstLine="480" w:firstLineChars="200"/>
      <w:jc w:val="left"/>
    </w:pPr>
    <w:rPr>
      <w:rFonts w:ascii="宋体" w:hAnsi="宋体" w:eastAsia="仿宋_GB2312"/>
      <w:bCs/>
      <w:color w:val="000000"/>
      <w:kern w:val="0"/>
      <w:szCs w:val="24"/>
    </w:rPr>
  </w:style>
  <w:style w:type="paragraph" w:customStyle="1" w:styleId="120">
    <w:name w:val="表头1"/>
    <w:basedOn w:val="1"/>
    <w:qFormat/>
    <w:uiPriority w:val="0"/>
    <w:pPr>
      <w:spacing w:before="312" w:beforeLines="100" w:line="360" w:lineRule="auto"/>
      <w:jc w:val="center"/>
    </w:pPr>
    <w:rPr>
      <w:rFonts w:ascii="宋体" w:hAnsi="宋体" w:eastAsia="宋体"/>
      <w:bCs/>
      <w:color w:val="000000"/>
      <w:kern w:val="0"/>
      <w:szCs w:val="24"/>
    </w:rPr>
  </w:style>
  <w:style w:type="character" w:customStyle="1" w:styleId="121">
    <w:name w:val="纯文本 Char1"/>
    <w:basedOn w:val="50"/>
    <w:qFormat/>
    <w:uiPriority w:val="0"/>
    <w:rPr>
      <w:rFonts w:ascii="宋体" w:hAnsi="Courier New" w:eastAsia="宋体"/>
      <w:kern w:val="2"/>
      <w:sz w:val="21"/>
      <w:lang w:val="en-US" w:eastAsia="zh-CN" w:bidi="ar-SA"/>
    </w:rPr>
  </w:style>
  <w:style w:type="paragraph" w:customStyle="1" w:styleId="122">
    <w:name w:val="修订1"/>
    <w:hidden/>
    <w:unhideWhenUsed/>
    <w:qFormat/>
    <w:uiPriority w:val="99"/>
    <w:rPr>
      <w:rFonts w:ascii="Times New Roman" w:hAnsi="Times New Roman" w:eastAsia="华文中宋" w:cs="Times New Roman"/>
      <w:kern w:val="2"/>
      <w:sz w:val="24"/>
      <w:lang w:val="en-US" w:eastAsia="zh-CN" w:bidi="ar-SA"/>
    </w:rPr>
  </w:style>
  <w:style w:type="character" w:customStyle="1" w:styleId="12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EA306-F6AD-48B3-9948-D9DFF4D597AD}">
  <ds:schemaRefs/>
</ds:datastoreItem>
</file>

<file path=docProps/app.xml><?xml version="1.0" encoding="utf-8"?>
<Properties xmlns="http://schemas.openxmlformats.org/officeDocument/2006/extended-properties" xmlns:vt="http://schemas.openxmlformats.org/officeDocument/2006/docPropsVTypes">
  <Template>Normal.dotm</Template>
  <Company>Lenovo Win7 PC</Company>
  <Pages>58</Pages>
  <Words>852</Words>
  <Characters>1093</Characters>
  <Lines>200</Lines>
  <Paragraphs>56</Paragraphs>
  <TotalTime>246</TotalTime>
  <ScaleCrop>false</ScaleCrop>
  <LinksUpToDate>false</LinksUpToDate>
  <CharactersWithSpaces>1237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2023-05-28T03:59:00Z</dcterms:created>
  <dc:creator>郭爱华</dc:creator>
  <cp:lastModifiedBy>颢</cp:lastModifiedBy>
  <cp:lastPrinted>2023-10-26T12:49:00Z</cp:lastPrinted>
  <dcterms:modified xsi:type="dcterms:W3CDTF">2025-06-17T03:05:16Z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3FEA5B3A337F4809BF152B15A22D180B_12</vt:lpwstr>
  </property>
  <property fmtid="{D5CDD505-2E9C-101B-9397-08002B2CF9AE}" pid="4" name="KSOTemplateDocerSaveRecord">
    <vt:lpwstr>eyJoZGlkIjoiMjA4MmUzYTIyNzllYzdlNDQyYWIxYzU5MWFlNGFhYWEiLCJ1c2VySWQiOiIyNDYyMjcwMTUifQ==</vt:lpwstr>
  </property>
</Properties>
</file>