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368C3">
      <w:pPr>
        <w:jc w:val="center"/>
        <w:rPr>
          <w:b/>
          <w:sz w:val="44"/>
          <w:szCs w:val="44"/>
        </w:rPr>
      </w:pPr>
      <w:r>
        <w:rPr>
          <w:rFonts w:hint="eastAsia"/>
          <w:b/>
          <w:sz w:val="44"/>
          <w:szCs w:val="44"/>
        </w:rPr>
        <w:t>湛江市朗坤环保能源有限公司</w:t>
      </w:r>
    </w:p>
    <w:p w14:paraId="7AA5955D">
      <w:pPr>
        <w:jc w:val="center"/>
        <w:rPr>
          <w:szCs w:val="21"/>
        </w:rPr>
      </w:pPr>
      <w:r>
        <w:rPr>
          <w:rFonts w:hint="eastAsia"/>
          <w:szCs w:val="21"/>
        </w:rPr>
        <w:t xml:space="preserve"> 电话：0755-</w:t>
      </w:r>
      <w:r>
        <w:rPr>
          <w:szCs w:val="21"/>
        </w:rPr>
        <w:t>89898039ext</w:t>
      </w:r>
      <w:r>
        <w:rPr>
          <w:rFonts w:hint="eastAsia"/>
          <w:szCs w:val="21"/>
        </w:rPr>
        <w:t>8039 传真：0755-89891888</w:t>
      </w:r>
    </w:p>
    <w:p w14:paraId="0A29750F">
      <w:pPr>
        <w:ind w:left="1470" w:firstLine="420"/>
        <w:rPr>
          <w:szCs w:val="21"/>
        </w:rPr>
      </w:pPr>
      <w:r>
        <w:rPr>
          <w:rFonts w:hint="eastAsia"/>
          <w:szCs w:val="21"/>
        </w:rPr>
        <w:t xml:space="preserve">采购：余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79033180@qq.com</w:t>
      </w:r>
    </w:p>
    <w:p w14:paraId="4601C854">
      <w:pPr>
        <w:jc w:val="center"/>
        <w:rPr>
          <w:b/>
          <w:sz w:val="32"/>
          <w:szCs w:val="32"/>
        </w:rPr>
      </w:pPr>
      <w:r>
        <w:rPr>
          <w:rFonts w:hint="eastAsia"/>
          <w:b/>
          <w:sz w:val="32"/>
          <w:szCs w:val="32"/>
        </w:rPr>
        <w:t>询价单</w:t>
      </w:r>
    </w:p>
    <w:p w14:paraId="1AB56B19">
      <w:pPr>
        <w:rPr>
          <w:szCs w:val="21"/>
        </w:rPr>
      </w:pPr>
      <w:r>
        <w:rPr>
          <w:rFonts w:hint="eastAsia"/>
          <w:szCs w:val="21"/>
        </w:rPr>
        <w:t>项目：吴川市环保热力发电厂项目</w:t>
      </w:r>
    </w:p>
    <w:tbl>
      <w:tblPr>
        <w:tblStyle w:val="4"/>
        <w:tblW w:w="10490"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17"/>
        <w:gridCol w:w="1913"/>
        <w:gridCol w:w="588"/>
        <w:gridCol w:w="1327"/>
        <w:gridCol w:w="1228"/>
        <w:gridCol w:w="1210"/>
        <w:gridCol w:w="1672"/>
      </w:tblGrid>
      <w:tr w14:paraId="5C2E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vAlign w:val="center"/>
          </w:tcPr>
          <w:p w14:paraId="5CA40542">
            <w:pPr>
              <w:pStyle w:val="2"/>
              <w:jc w:val="center"/>
            </w:pPr>
            <w:r>
              <w:rPr>
                <w:rFonts w:hint="eastAsia"/>
              </w:rPr>
              <w:t>材料名称</w:t>
            </w:r>
          </w:p>
        </w:tc>
        <w:tc>
          <w:tcPr>
            <w:tcW w:w="3330" w:type="dxa"/>
            <w:gridSpan w:val="2"/>
            <w:vAlign w:val="center"/>
          </w:tcPr>
          <w:p w14:paraId="64D88812">
            <w:pPr>
              <w:pStyle w:val="2"/>
              <w:jc w:val="center"/>
            </w:pPr>
            <w:r>
              <w:rPr>
                <w:rFonts w:hint="eastAsia"/>
              </w:rPr>
              <w:t>规格型号、技术要求</w:t>
            </w:r>
          </w:p>
        </w:tc>
        <w:tc>
          <w:tcPr>
            <w:tcW w:w="588" w:type="dxa"/>
            <w:vAlign w:val="center"/>
          </w:tcPr>
          <w:p w14:paraId="7EE2EDF4">
            <w:pPr>
              <w:pStyle w:val="2"/>
              <w:jc w:val="center"/>
            </w:pPr>
            <w:r>
              <w:rPr>
                <w:rFonts w:hint="eastAsia"/>
              </w:rPr>
              <w:t>单位</w:t>
            </w:r>
          </w:p>
        </w:tc>
        <w:tc>
          <w:tcPr>
            <w:tcW w:w="1327" w:type="dxa"/>
            <w:vAlign w:val="center"/>
          </w:tcPr>
          <w:p w14:paraId="0AB28BE8">
            <w:pPr>
              <w:pStyle w:val="2"/>
              <w:jc w:val="center"/>
            </w:pPr>
            <w:r>
              <w:rPr>
                <w:rFonts w:hint="eastAsia"/>
              </w:rPr>
              <w:t>暂定数量</w:t>
            </w:r>
          </w:p>
        </w:tc>
        <w:tc>
          <w:tcPr>
            <w:tcW w:w="1228" w:type="dxa"/>
            <w:vAlign w:val="center"/>
          </w:tcPr>
          <w:p w14:paraId="0DFC7056">
            <w:pPr>
              <w:pStyle w:val="2"/>
              <w:jc w:val="center"/>
            </w:pPr>
            <w:r>
              <w:rPr>
                <w:rFonts w:hint="eastAsia"/>
              </w:rPr>
              <w:t>单价（元）</w:t>
            </w:r>
          </w:p>
        </w:tc>
        <w:tc>
          <w:tcPr>
            <w:tcW w:w="1210" w:type="dxa"/>
          </w:tcPr>
          <w:p w14:paraId="580ACCCC">
            <w:pPr>
              <w:pStyle w:val="2"/>
              <w:ind w:left="315" w:hanging="315" w:hangingChars="150"/>
            </w:pPr>
            <w:r>
              <w:rPr>
                <w:rFonts w:hint="eastAsia"/>
              </w:rPr>
              <w:t>总价（元）</w:t>
            </w:r>
          </w:p>
        </w:tc>
        <w:tc>
          <w:tcPr>
            <w:tcW w:w="1672" w:type="dxa"/>
            <w:vAlign w:val="center"/>
          </w:tcPr>
          <w:p w14:paraId="16C61928">
            <w:pPr>
              <w:pStyle w:val="2"/>
              <w:ind w:left="315" w:leftChars="150"/>
            </w:pPr>
            <w:r>
              <w:rPr>
                <w:rFonts w:hint="eastAsia"/>
              </w:rPr>
              <w:t xml:space="preserve">备注  </w:t>
            </w:r>
          </w:p>
        </w:tc>
      </w:tr>
      <w:tr w14:paraId="4DE9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14:paraId="38EB3E96">
            <w:pPr>
              <w:pStyle w:val="2"/>
              <w:ind w:left="105" w:hanging="105" w:hangingChars="50"/>
              <w:jc w:val="left"/>
            </w:pPr>
            <w:r>
              <w:rPr>
                <w:rFonts w:hint="eastAsia"/>
              </w:rPr>
              <w:t xml:space="preserve">熟石灰   </w:t>
            </w:r>
          </w:p>
        </w:tc>
        <w:tc>
          <w:tcPr>
            <w:tcW w:w="1417" w:type="dxa"/>
            <w:vAlign w:val="center"/>
          </w:tcPr>
          <w:p w14:paraId="5468E5D5">
            <w:pPr>
              <w:pStyle w:val="2"/>
              <w:jc w:val="center"/>
            </w:pPr>
            <w:r>
              <w:rPr>
                <w:rFonts w:hint="eastAsia"/>
              </w:rPr>
              <w:t>检测项目</w:t>
            </w:r>
          </w:p>
        </w:tc>
        <w:tc>
          <w:tcPr>
            <w:tcW w:w="1913" w:type="dxa"/>
            <w:vAlign w:val="center"/>
          </w:tcPr>
          <w:p w14:paraId="314AD943">
            <w:pPr>
              <w:pStyle w:val="2"/>
              <w:jc w:val="center"/>
            </w:pPr>
            <w:r>
              <w:rPr>
                <w:rFonts w:hint="eastAsia"/>
              </w:rPr>
              <w:t>指标</w:t>
            </w:r>
          </w:p>
        </w:tc>
        <w:tc>
          <w:tcPr>
            <w:tcW w:w="588" w:type="dxa"/>
            <w:vMerge w:val="restart"/>
            <w:vAlign w:val="center"/>
          </w:tcPr>
          <w:p w14:paraId="65AE20A7">
            <w:pPr>
              <w:pStyle w:val="2"/>
              <w:jc w:val="center"/>
            </w:pPr>
            <w:r>
              <w:rPr>
                <w:rFonts w:hint="eastAsia"/>
              </w:rPr>
              <w:t>吨</w:t>
            </w:r>
          </w:p>
        </w:tc>
        <w:tc>
          <w:tcPr>
            <w:tcW w:w="1327" w:type="dxa"/>
            <w:vMerge w:val="restart"/>
            <w:vAlign w:val="center"/>
          </w:tcPr>
          <w:p w14:paraId="3E6C3DF7">
            <w:pPr>
              <w:pStyle w:val="2"/>
              <w:jc w:val="center"/>
            </w:pPr>
            <w:r>
              <w:rPr>
                <w:rFonts w:hint="eastAsia"/>
                <w:lang w:val="en-US" w:eastAsia="zh-CN"/>
              </w:rPr>
              <w:t>8</w:t>
            </w:r>
            <w:r>
              <w:t>00</w:t>
            </w:r>
          </w:p>
        </w:tc>
        <w:tc>
          <w:tcPr>
            <w:tcW w:w="1228" w:type="dxa"/>
            <w:vMerge w:val="restart"/>
            <w:vAlign w:val="center"/>
          </w:tcPr>
          <w:p w14:paraId="494185D3">
            <w:pPr>
              <w:pStyle w:val="2"/>
            </w:pPr>
          </w:p>
        </w:tc>
        <w:tc>
          <w:tcPr>
            <w:tcW w:w="1210" w:type="dxa"/>
            <w:vMerge w:val="restart"/>
            <w:vAlign w:val="center"/>
          </w:tcPr>
          <w:p w14:paraId="41837F36">
            <w:pPr>
              <w:pStyle w:val="2"/>
            </w:pPr>
          </w:p>
        </w:tc>
        <w:tc>
          <w:tcPr>
            <w:tcW w:w="1672" w:type="dxa"/>
            <w:vMerge w:val="restart"/>
            <w:vAlign w:val="center"/>
          </w:tcPr>
          <w:p w14:paraId="7CEF2924">
            <w:pPr>
              <w:pStyle w:val="2"/>
              <w:rPr>
                <w:rFonts w:hint="default" w:eastAsia="宋体"/>
                <w:lang w:val="en-US" w:eastAsia="zh-CN"/>
              </w:rPr>
            </w:pPr>
          </w:p>
        </w:tc>
      </w:tr>
      <w:tr w14:paraId="0295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3620A8B6">
            <w:pPr>
              <w:pStyle w:val="2"/>
              <w:jc w:val="center"/>
            </w:pPr>
          </w:p>
        </w:tc>
        <w:tc>
          <w:tcPr>
            <w:tcW w:w="1417" w:type="dxa"/>
            <w:vAlign w:val="center"/>
          </w:tcPr>
          <w:p w14:paraId="6961C529">
            <w:pPr>
              <w:pStyle w:val="2"/>
              <w:jc w:val="center"/>
            </w:pPr>
            <w:r>
              <w:rPr>
                <w:rFonts w:hint="eastAsia"/>
                <w:snapToGrid w:val="0"/>
                <w:szCs w:val="21"/>
              </w:rPr>
              <w:t>Ca(OH)</w:t>
            </w:r>
            <w:r>
              <w:rPr>
                <w:rFonts w:ascii="Cambria Math" w:hAnsi="Cambria Math" w:cs="Cambria Math"/>
                <w:snapToGrid w:val="0"/>
                <w:szCs w:val="21"/>
              </w:rPr>
              <w:t>₂</w:t>
            </w:r>
            <w:r>
              <w:rPr>
                <w:rFonts w:hint="eastAsia"/>
                <w:snapToGrid w:val="0"/>
                <w:szCs w:val="21"/>
              </w:rPr>
              <w:t>含量</w:t>
            </w:r>
          </w:p>
        </w:tc>
        <w:tc>
          <w:tcPr>
            <w:tcW w:w="1913" w:type="dxa"/>
            <w:vAlign w:val="center"/>
          </w:tcPr>
          <w:p w14:paraId="2AF69858">
            <w:pPr>
              <w:pStyle w:val="2"/>
              <w:jc w:val="center"/>
            </w:pPr>
            <w:r>
              <w:rPr>
                <w:rFonts w:hint="eastAsia"/>
                <w:snapToGrid w:val="0"/>
                <w:szCs w:val="21"/>
              </w:rPr>
              <w:t>≥90%</w:t>
            </w:r>
          </w:p>
        </w:tc>
        <w:tc>
          <w:tcPr>
            <w:tcW w:w="588" w:type="dxa"/>
            <w:vMerge w:val="continue"/>
            <w:vAlign w:val="center"/>
          </w:tcPr>
          <w:p w14:paraId="4E08D1F9">
            <w:pPr>
              <w:pStyle w:val="2"/>
              <w:jc w:val="center"/>
            </w:pPr>
          </w:p>
        </w:tc>
        <w:tc>
          <w:tcPr>
            <w:tcW w:w="1327" w:type="dxa"/>
            <w:vMerge w:val="continue"/>
            <w:vAlign w:val="center"/>
          </w:tcPr>
          <w:p w14:paraId="645D551B">
            <w:pPr>
              <w:pStyle w:val="2"/>
              <w:jc w:val="center"/>
            </w:pPr>
          </w:p>
        </w:tc>
        <w:tc>
          <w:tcPr>
            <w:tcW w:w="1228" w:type="dxa"/>
            <w:vMerge w:val="continue"/>
          </w:tcPr>
          <w:p w14:paraId="09C5A052">
            <w:pPr>
              <w:pStyle w:val="2"/>
              <w:jc w:val="center"/>
            </w:pPr>
          </w:p>
        </w:tc>
        <w:tc>
          <w:tcPr>
            <w:tcW w:w="1210" w:type="dxa"/>
            <w:vMerge w:val="continue"/>
          </w:tcPr>
          <w:p w14:paraId="314B0FB0">
            <w:pPr>
              <w:pStyle w:val="2"/>
              <w:jc w:val="center"/>
            </w:pPr>
          </w:p>
        </w:tc>
        <w:tc>
          <w:tcPr>
            <w:tcW w:w="1672" w:type="dxa"/>
            <w:vMerge w:val="continue"/>
            <w:vAlign w:val="center"/>
          </w:tcPr>
          <w:p w14:paraId="7A1BF234">
            <w:pPr>
              <w:pStyle w:val="2"/>
              <w:jc w:val="center"/>
            </w:pPr>
          </w:p>
        </w:tc>
      </w:tr>
      <w:tr w14:paraId="5E94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5" w:type="dxa"/>
            <w:vMerge w:val="continue"/>
            <w:vAlign w:val="center"/>
          </w:tcPr>
          <w:p w14:paraId="2BFEBE3B">
            <w:pPr>
              <w:pStyle w:val="2"/>
              <w:jc w:val="center"/>
            </w:pPr>
          </w:p>
        </w:tc>
        <w:tc>
          <w:tcPr>
            <w:tcW w:w="1417" w:type="dxa"/>
            <w:vAlign w:val="center"/>
          </w:tcPr>
          <w:p w14:paraId="2CB67BB3">
            <w:pPr>
              <w:pStyle w:val="2"/>
              <w:jc w:val="center"/>
            </w:pPr>
            <w:r>
              <w:rPr>
                <w:rFonts w:hint="eastAsia"/>
                <w:snapToGrid w:val="0"/>
                <w:szCs w:val="21"/>
              </w:rPr>
              <w:t>325目</w:t>
            </w:r>
            <w:r>
              <w:rPr>
                <w:rFonts w:hint="eastAsia"/>
                <w:snapToGrid w:val="0"/>
                <w:color w:val="000000"/>
                <w:szCs w:val="21"/>
              </w:rPr>
              <w:t>过筛率</w:t>
            </w:r>
          </w:p>
        </w:tc>
        <w:tc>
          <w:tcPr>
            <w:tcW w:w="1913" w:type="dxa"/>
            <w:vAlign w:val="center"/>
          </w:tcPr>
          <w:p w14:paraId="770D6337">
            <w:pPr>
              <w:pStyle w:val="2"/>
              <w:jc w:val="center"/>
            </w:pPr>
            <w:r>
              <w:rPr>
                <w:rFonts w:hint="eastAsia"/>
                <w:snapToGrid w:val="0"/>
                <w:szCs w:val="21"/>
              </w:rPr>
              <w:t>≥</w:t>
            </w:r>
            <w:r>
              <w:rPr>
                <w:rFonts w:hint="eastAsia"/>
                <w:snapToGrid w:val="0"/>
                <w:color w:val="000000"/>
                <w:szCs w:val="21"/>
              </w:rPr>
              <w:t xml:space="preserve">95 </w:t>
            </w:r>
            <w:r>
              <w:rPr>
                <w:rFonts w:hint="eastAsia"/>
                <w:snapToGrid w:val="0"/>
                <w:szCs w:val="21"/>
              </w:rPr>
              <w:t>%</w:t>
            </w:r>
          </w:p>
        </w:tc>
        <w:tc>
          <w:tcPr>
            <w:tcW w:w="588" w:type="dxa"/>
            <w:vMerge w:val="continue"/>
            <w:vAlign w:val="center"/>
          </w:tcPr>
          <w:p w14:paraId="2E347523">
            <w:pPr>
              <w:pStyle w:val="2"/>
              <w:jc w:val="center"/>
            </w:pPr>
          </w:p>
        </w:tc>
        <w:tc>
          <w:tcPr>
            <w:tcW w:w="1327" w:type="dxa"/>
            <w:vMerge w:val="continue"/>
            <w:vAlign w:val="center"/>
          </w:tcPr>
          <w:p w14:paraId="7FF4B7EA">
            <w:pPr>
              <w:pStyle w:val="2"/>
              <w:jc w:val="center"/>
            </w:pPr>
          </w:p>
        </w:tc>
        <w:tc>
          <w:tcPr>
            <w:tcW w:w="1228" w:type="dxa"/>
            <w:vMerge w:val="continue"/>
          </w:tcPr>
          <w:p w14:paraId="193E0882">
            <w:pPr>
              <w:pStyle w:val="2"/>
              <w:jc w:val="center"/>
            </w:pPr>
          </w:p>
        </w:tc>
        <w:tc>
          <w:tcPr>
            <w:tcW w:w="1210" w:type="dxa"/>
            <w:vMerge w:val="continue"/>
          </w:tcPr>
          <w:p w14:paraId="2038ECE7">
            <w:pPr>
              <w:pStyle w:val="2"/>
              <w:jc w:val="center"/>
            </w:pPr>
          </w:p>
        </w:tc>
        <w:tc>
          <w:tcPr>
            <w:tcW w:w="1672" w:type="dxa"/>
            <w:vMerge w:val="continue"/>
            <w:vAlign w:val="center"/>
          </w:tcPr>
          <w:p w14:paraId="6A175A5C">
            <w:pPr>
              <w:pStyle w:val="2"/>
              <w:jc w:val="center"/>
            </w:pPr>
          </w:p>
        </w:tc>
      </w:tr>
      <w:tr w14:paraId="3AD99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35" w:type="dxa"/>
            <w:vMerge w:val="continue"/>
            <w:vAlign w:val="center"/>
          </w:tcPr>
          <w:p w14:paraId="5DF57535">
            <w:pPr>
              <w:pStyle w:val="2"/>
              <w:jc w:val="center"/>
            </w:pPr>
          </w:p>
        </w:tc>
        <w:tc>
          <w:tcPr>
            <w:tcW w:w="1417" w:type="dxa"/>
            <w:vAlign w:val="center"/>
          </w:tcPr>
          <w:p w14:paraId="616EA866">
            <w:pPr>
              <w:pStyle w:val="2"/>
              <w:jc w:val="center"/>
            </w:pPr>
            <w:r>
              <w:rPr>
                <w:rFonts w:hint="eastAsia"/>
              </w:rPr>
              <w:t>比表面积</w:t>
            </w:r>
          </w:p>
        </w:tc>
        <w:tc>
          <w:tcPr>
            <w:tcW w:w="1913" w:type="dxa"/>
            <w:vAlign w:val="center"/>
          </w:tcPr>
          <w:p w14:paraId="6BBAA604">
            <w:pPr>
              <w:pStyle w:val="2"/>
              <w:jc w:val="center"/>
            </w:pPr>
            <w:r>
              <w:rPr>
                <w:rFonts w:hint="eastAsia"/>
                <w:snapToGrid w:val="0"/>
                <w:szCs w:val="21"/>
              </w:rPr>
              <w:t>≥</w:t>
            </w:r>
            <w:r>
              <w:rPr>
                <w:rFonts w:hint="eastAsia"/>
              </w:rPr>
              <w:t>18m2/g</w:t>
            </w:r>
          </w:p>
        </w:tc>
        <w:tc>
          <w:tcPr>
            <w:tcW w:w="588" w:type="dxa"/>
            <w:vMerge w:val="continue"/>
            <w:vAlign w:val="center"/>
          </w:tcPr>
          <w:p w14:paraId="6BB7396E">
            <w:pPr>
              <w:pStyle w:val="2"/>
              <w:jc w:val="center"/>
            </w:pPr>
          </w:p>
        </w:tc>
        <w:tc>
          <w:tcPr>
            <w:tcW w:w="1327" w:type="dxa"/>
            <w:vMerge w:val="continue"/>
            <w:vAlign w:val="center"/>
          </w:tcPr>
          <w:p w14:paraId="2DC7C3F2">
            <w:pPr>
              <w:pStyle w:val="2"/>
              <w:jc w:val="center"/>
            </w:pPr>
          </w:p>
        </w:tc>
        <w:tc>
          <w:tcPr>
            <w:tcW w:w="1228" w:type="dxa"/>
            <w:vMerge w:val="continue"/>
          </w:tcPr>
          <w:p w14:paraId="55BC7B15">
            <w:pPr>
              <w:pStyle w:val="2"/>
              <w:jc w:val="center"/>
            </w:pPr>
          </w:p>
        </w:tc>
        <w:tc>
          <w:tcPr>
            <w:tcW w:w="1210" w:type="dxa"/>
            <w:vMerge w:val="continue"/>
          </w:tcPr>
          <w:p w14:paraId="183A6E29">
            <w:pPr>
              <w:pStyle w:val="2"/>
              <w:jc w:val="center"/>
            </w:pPr>
          </w:p>
        </w:tc>
        <w:tc>
          <w:tcPr>
            <w:tcW w:w="1672" w:type="dxa"/>
            <w:vMerge w:val="continue"/>
            <w:vAlign w:val="center"/>
          </w:tcPr>
          <w:p w14:paraId="44A4D0B4">
            <w:pPr>
              <w:pStyle w:val="2"/>
              <w:jc w:val="center"/>
            </w:pPr>
          </w:p>
        </w:tc>
      </w:tr>
      <w:tr w14:paraId="6528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5362AD46">
            <w:pPr>
              <w:pStyle w:val="2"/>
              <w:jc w:val="center"/>
            </w:pPr>
          </w:p>
        </w:tc>
        <w:tc>
          <w:tcPr>
            <w:tcW w:w="1417" w:type="dxa"/>
            <w:vAlign w:val="center"/>
          </w:tcPr>
          <w:p w14:paraId="7DB3571C">
            <w:pPr>
              <w:pStyle w:val="2"/>
              <w:jc w:val="center"/>
            </w:pPr>
            <w:r>
              <w:rPr>
                <w:rFonts w:hint="eastAsia"/>
              </w:rPr>
              <w:t>CaCO3</w:t>
            </w:r>
          </w:p>
        </w:tc>
        <w:tc>
          <w:tcPr>
            <w:tcW w:w="1913" w:type="dxa"/>
            <w:vAlign w:val="center"/>
          </w:tcPr>
          <w:p w14:paraId="75B077B1">
            <w:pPr>
              <w:pStyle w:val="2"/>
              <w:jc w:val="center"/>
            </w:pPr>
            <w:r>
              <w:rPr>
                <w:rFonts w:hint="eastAsia"/>
              </w:rPr>
              <w:t>＜5%</w:t>
            </w:r>
          </w:p>
        </w:tc>
        <w:tc>
          <w:tcPr>
            <w:tcW w:w="588" w:type="dxa"/>
            <w:vMerge w:val="continue"/>
            <w:vAlign w:val="center"/>
          </w:tcPr>
          <w:p w14:paraId="7C9D0602">
            <w:pPr>
              <w:pStyle w:val="2"/>
              <w:jc w:val="center"/>
            </w:pPr>
          </w:p>
        </w:tc>
        <w:tc>
          <w:tcPr>
            <w:tcW w:w="1327" w:type="dxa"/>
            <w:vMerge w:val="continue"/>
            <w:vAlign w:val="center"/>
          </w:tcPr>
          <w:p w14:paraId="7E1A6278">
            <w:pPr>
              <w:pStyle w:val="2"/>
              <w:jc w:val="center"/>
            </w:pPr>
          </w:p>
        </w:tc>
        <w:tc>
          <w:tcPr>
            <w:tcW w:w="1228" w:type="dxa"/>
            <w:vMerge w:val="continue"/>
          </w:tcPr>
          <w:p w14:paraId="69A4E649">
            <w:pPr>
              <w:pStyle w:val="2"/>
              <w:jc w:val="center"/>
            </w:pPr>
          </w:p>
        </w:tc>
        <w:tc>
          <w:tcPr>
            <w:tcW w:w="1210" w:type="dxa"/>
            <w:vMerge w:val="continue"/>
          </w:tcPr>
          <w:p w14:paraId="2F84A001">
            <w:pPr>
              <w:pStyle w:val="2"/>
              <w:jc w:val="center"/>
            </w:pPr>
          </w:p>
        </w:tc>
        <w:tc>
          <w:tcPr>
            <w:tcW w:w="1672" w:type="dxa"/>
            <w:vMerge w:val="continue"/>
            <w:vAlign w:val="center"/>
          </w:tcPr>
          <w:p w14:paraId="31BD2A5E">
            <w:pPr>
              <w:pStyle w:val="2"/>
              <w:jc w:val="center"/>
            </w:pPr>
          </w:p>
        </w:tc>
      </w:tr>
      <w:tr w14:paraId="2746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5" w:type="dxa"/>
            <w:vMerge w:val="continue"/>
            <w:vAlign w:val="center"/>
          </w:tcPr>
          <w:p w14:paraId="280E3D65">
            <w:pPr>
              <w:pStyle w:val="2"/>
              <w:jc w:val="center"/>
            </w:pPr>
          </w:p>
        </w:tc>
        <w:tc>
          <w:tcPr>
            <w:tcW w:w="1417" w:type="dxa"/>
            <w:vAlign w:val="center"/>
          </w:tcPr>
          <w:p w14:paraId="44F56B0A">
            <w:pPr>
              <w:pStyle w:val="2"/>
              <w:jc w:val="center"/>
            </w:pPr>
            <w:r>
              <w:rPr>
                <w:rFonts w:hint="eastAsia"/>
              </w:rPr>
              <w:t>CaSO4</w:t>
            </w:r>
          </w:p>
        </w:tc>
        <w:tc>
          <w:tcPr>
            <w:tcW w:w="1913" w:type="dxa"/>
            <w:vAlign w:val="center"/>
          </w:tcPr>
          <w:p w14:paraId="03332013">
            <w:pPr>
              <w:pStyle w:val="2"/>
              <w:jc w:val="center"/>
            </w:pPr>
            <w:r>
              <w:rPr>
                <w:rFonts w:hint="eastAsia"/>
              </w:rPr>
              <w:t>＜0.2%</w:t>
            </w:r>
          </w:p>
        </w:tc>
        <w:tc>
          <w:tcPr>
            <w:tcW w:w="588" w:type="dxa"/>
            <w:vMerge w:val="continue"/>
            <w:vAlign w:val="center"/>
          </w:tcPr>
          <w:p w14:paraId="3436CF11">
            <w:pPr>
              <w:pStyle w:val="2"/>
              <w:jc w:val="center"/>
            </w:pPr>
          </w:p>
        </w:tc>
        <w:tc>
          <w:tcPr>
            <w:tcW w:w="1327" w:type="dxa"/>
            <w:vMerge w:val="continue"/>
            <w:vAlign w:val="center"/>
          </w:tcPr>
          <w:p w14:paraId="33715DEF">
            <w:pPr>
              <w:pStyle w:val="2"/>
              <w:jc w:val="center"/>
            </w:pPr>
          </w:p>
        </w:tc>
        <w:tc>
          <w:tcPr>
            <w:tcW w:w="1228" w:type="dxa"/>
            <w:vMerge w:val="continue"/>
          </w:tcPr>
          <w:p w14:paraId="50548B13">
            <w:pPr>
              <w:pStyle w:val="2"/>
              <w:jc w:val="center"/>
            </w:pPr>
          </w:p>
        </w:tc>
        <w:tc>
          <w:tcPr>
            <w:tcW w:w="1210" w:type="dxa"/>
            <w:vMerge w:val="continue"/>
          </w:tcPr>
          <w:p w14:paraId="203856AC">
            <w:pPr>
              <w:pStyle w:val="2"/>
              <w:jc w:val="center"/>
            </w:pPr>
          </w:p>
        </w:tc>
        <w:tc>
          <w:tcPr>
            <w:tcW w:w="1672" w:type="dxa"/>
            <w:vMerge w:val="continue"/>
            <w:vAlign w:val="center"/>
          </w:tcPr>
          <w:p w14:paraId="50DC25A2">
            <w:pPr>
              <w:pStyle w:val="2"/>
              <w:jc w:val="center"/>
            </w:pPr>
          </w:p>
        </w:tc>
      </w:tr>
      <w:tr w14:paraId="0427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18DD093B">
            <w:pPr>
              <w:pStyle w:val="2"/>
              <w:jc w:val="center"/>
            </w:pPr>
          </w:p>
        </w:tc>
        <w:tc>
          <w:tcPr>
            <w:tcW w:w="1417" w:type="dxa"/>
            <w:vAlign w:val="center"/>
          </w:tcPr>
          <w:p w14:paraId="0DFA5EC8">
            <w:pPr>
              <w:pStyle w:val="2"/>
              <w:jc w:val="center"/>
            </w:pPr>
            <w:r>
              <w:rPr>
                <w:rFonts w:hint="eastAsia"/>
              </w:rPr>
              <w:t>SiO2</w:t>
            </w:r>
          </w:p>
        </w:tc>
        <w:tc>
          <w:tcPr>
            <w:tcW w:w="1913" w:type="dxa"/>
            <w:vAlign w:val="center"/>
          </w:tcPr>
          <w:p w14:paraId="62F4AE7A">
            <w:pPr>
              <w:pStyle w:val="2"/>
              <w:jc w:val="center"/>
            </w:pPr>
            <w:r>
              <w:rPr>
                <w:rFonts w:hint="eastAsia"/>
              </w:rPr>
              <w:t>＜1%</w:t>
            </w:r>
          </w:p>
        </w:tc>
        <w:tc>
          <w:tcPr>
            <w:tcW w:w="588" w:type="dxa"/>
            <w:vMerge w:val="continue"/>
            <w:vAlign w:val="center"/>
          </w:tcPr>
          <w:p w14:paraId="2325380A">
            <w:pPr>
              <w:pStyle w:val="2"/>
              <w:jc w:val="center"/>
            </w:pPr>
          </w:p>
        </w:tc>
        <w:tc>
          <w:tcPr>
            <w:tcW w:w="1327" w:type="dxa"/>
            <w:vMerge w:val="continue"/>
            <w:vAlign w:val="center"/>
          </w:tcPr>
          <w:p w14:paraId="7CD09E80">
            <w:pPr>
              <w:pStyle w:val="2"/>
              <w:jc w:val="center"/>
            </w:pPr>
          </w:p>
        </w:tc>
        <w:tc>
          <w:tcPr>
            <w:tcW w:w="1228" w:type="dxa"/>
            <w:vMerge w:val="continue"/>
          </w:tcPr>
          <w:p w14:paraId="7A3D0C8A">
            <w:pPr>
              <w:pStyle w:val="2"/>
              <w:jc w:val="center"/>
            </w:pPr>
          </w:p>
        </w:tc>
        <w:tc>
          <w:tcPr>
            <w:tcW w:w="1210" w:type="dxa"/>
            <w:vMerge w:val="continue"/>
          </w:tcPr>
          <w:p w14:paraId="24A44E17">
            <w:pPr>
              <w:pStyle w:val="2"/>
              <w:jc w:val="center"/>
            </w:pPr>
          </w:p>
        </w:tc>
        <w:tc>
          <w:tcPr>
            <w:tcW w:w="1672" w:type="dxa"/>
            <w:vMerge w:val="continue"/>
            <w:vAlign w:val="center"/>
          </w:tcPr>
          <w:p w14:paraId="355E83E9">
            <w:pPr>
              <w:pStyle w:val="2"/>
              <w:jc w:val="center"/>
            </w:pPr>
          </w:p>
        </w:tc>
      </w:tr>
      <w:tr w14:paraId="5C1D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13945D9D">
            <w:pPr>
              <w:pStyle w:val="2"/>
              <w:jc w:val="center"/>
            </w:pPr>
          </w:p>
        </w:tc>
        <w:tc>
          <w:tcPr>
            <w:tcW w:w="1417" w:type="dxa"/>
            <w:vAlign w:val="center"/>
          </w:tcPr>
          <w:p w14:paraId="38EFB243">
            <w:pPr>
              <w:pStyle w:val="2"/>
              <w:jc w:val="center"/>
            </w:pPr>
            <w:r>
              <w:rPr>
                <w:rFonts w:hint="eastAsia"/>
              </w:rPr>
              <w:t>Fe2O3</w:t>
            </w:r>
          </w:p>
        </w:tc>
        <w:tc>
          <w:tcPr>
            <w:tcW w:w="1913" w:type="dxa"/>
            <w:vAlign w:val="center"/>
          </w:tcPr>
          <w:p w14:paraId="307D60FE">
            <w:pPr>
              <w:pStyle w:val="2"/>
              <w:jc w:val="center"/>
            </w:pPr>
            <w:r>
              <w:rPr>
                <w:rFonts w:hint="eastAsia"/>
              </w:rPr>
              <w:t>＜0.5%</w:t>
            </w:r>
          </w:p>
        </w:tc>
        <w:tc>
          <w:tcPr>
            <w:tcW w:w="588" w:type="dxa"/>
            <w:vMerge w:val="continue"/>
            <w:vAlign w:val="center"/>
          </w:tcPr>
          <w:p w14:paraId="6F48D36A">
            <w:pPr>
              <w:pStyle w:val="2"/>
              <w:jc w:val="center"/>
            </w:pPr>
          </w:p>
        </w:tc>
        <w:tc>
          <w:tcPr>
            <w:tcW w:w="1327" w:type="dxa"/>
            <w:vMerge w:val="continue"/>
            <w:vAlign w:val="center"/>
          </w:tcPr>
          <w:p w14:paraId="797571CD">
            <w:pPr>
              <w:pStyle w:val="2"/>
              <w:jc w:val="center"/>
            </w:pPr>
          </w:p>
        </w:tc>
        <w:tc>
          <w:tcPr>
            <w:tcW w:w="1228" w:type="dxa"/>
            <w:vMerge w:val="continue"/>
          </w:tcPr>
          <w:p w14:paraId="32D0F5FE">
            <w:pPr>
              <w:pStyle w:val="2"/>
              <w:jc w:val="center"/>
            </w:pPr>
          </w:p>
        </w:tc>
        <w:tc>
          <w:tcPr>
            <w:tcW w:w="1210" w:type="dxa"/>
            <w:vMerge w:val="continue"/>
          </w:tcPr>
          <w:p w14:paraId="54110A59">
            <w:pPr>
              <w:pStyle w:val="2"/>
              <w:jc w:val="center"/>
            </w:pPr>
          </w:p>
        </w:tc>
        <w:tc>
          <w:tcPr>
            <w:tcW w:w="1672" w:type="dxa"/>
            <w:vMerge w:val="continue"/>
            <w:vAlign w:val="center"/>
          </w:tcPr>
          <w:p w14:paraId="02346A4D">
            <w:pPr>
              <w:pStyle w:val="2"/>
              <w:jc w:val="center"/>
            </w:pPr>
          </w:p>
        </w:tc>
      </w:tr>
      <w:tr w14:paraId="2B75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35" w:type="dxa"/>
            <w:vMerge w:val="continue"/>
            <w:vAlign w:val="center"/>
          </w:tcPr>
          <w:p w14:paraId="69C4C525">
            <w:pPr>
              <w:pStyle w:val="2"/>
              <w:jc w:val="center"/>
            </w:pPr>
          </w:p>
        </w:tc>
        <w:tc>
          <w:tcPr>
            <w:tcW w:w="1417" w:type="dxa"/>
            <w:vAlign w:val="center"/>
          </w:tcPr>
          <w:p w14:paraId="5AE90D05">
            <w:pPr>
              <w:pStyle w:val="2"/>
              <w:jc w:val="center"/>
            </w:pPr>
            <w:r>
              <w:rPr>
                <w:rFonts w:hint="eastAsia"/>
              </w:rPr>
              <w:t>水分</w:t>
            </w:r>
          </w:p>
        </w:tc>
        <w:tc>
          <w:tcPr>
            <w:tcW w:w="1913" w:type="dxa"/>
            <w:vAlign w:val="center"/>
          </w:tcPr>
          <w:p w14:paraId="1DA51D25">
            <w:pPr>
              <w:pStyle w:val="2"/>
              <w:jc w:val="center"/>
            </w:pPr>
            <w:r>
              <w:rPr>
                <w:rFonts w:hint="eastAsia"/>
              </w:rPr>
              <w:t>≤1%</w:t>
            </w:r>
          </w:p>
        </w:tc>
        <w:tc>
          <w:tcPr>
            <w:tcW w:w="588" w:type="dxa"/>
            <w:vMerge w:val="continue"/>
            <w:vAlign w:val="center"/>
          </w:tcPr>
          <w:p w14:paraId="5E422DDD">
            <w:pPr>
              <w:pStyle w:val="2"/>
              <w:jc w:val="center"/>
            </w:pPr>
          </w:p>
        </w:tc>
        <w:tc>
          <w:tcPr>
            <w:tcW w:w="1327" w:type="dxa"/>
            <w:vMerge w:val="continue"/>
            <w:vAlign w:val="center"/>
          </w:tcPr>
          <w:p w14:paraId="306B6566">
            <w:pPr>
              <w:pStyle w:val="2"/>
              <w:jc w:val="center"/>
            </w:pPr>
          </w:p>
        </w:tc>
        <w:tc>
          <w:tcPr>
            <w:tcW w:w="1228" w:type="dxa"/>
            <w:vMerge w:val="continue"/>
          </w:tcPr>
          <w:p w14:paraId="4365AB39">
            <w:pPr>
              <w:pStyle w:val="2"/>
              <w:jc w:val="center"/>
            </w:pPr>
          </w:p>
        </w:tc>
        <w:tc>
          <w:tcPr>
            <w:tcW w:w="1210" w:type="dxa"/>
            <w:vMerge w:val="continue"/>
          </w:tcPr>
          <w:p w14:paraId="5A77B898">
            <w:pPr>
              <w:pStyle w:val="2"/>
              <w:jc w:val="center"/>
            </w:pPr>
          </w:p>
        </w:tc>
        <w:tc>
          <w:tcPr>
            <w:tcW w:w="1672" w:type="dxa"/>
            <w:vMerge w:val="continue"/>
            <w:vAlign w:val="center"/>
          </w:tcPr>
          <w:p w14:paraId="2B38A732">
            <w:pPr>
              <w:pStyle w:val="2"/>
              <w:jc w:val="center"/>
            </w:pPr>
          </w:p>
        </w:tc>
      </w:tr>
      <w:tr w14:paraId="5B45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1971616B">
            <w:pPr>
              <w:pStyle w:val="2"/>
              <w:jc w:val="center"/>
            </w:pPr>
          </w:p>
        </w:tc>
        <w:tc>
          <w:tcPr>
            <w:tcW w:w="1417" w:type="dxa"/>
            <w:vAlign w:val="center"/>
          </w:tcPr>
          <w:p w14:paraId="49277AE6">
            <w:pPr>
              <w:pStyle w:val="2"/>
              <w:jc w:val="center"/>
            </w:pPr>
            <w:r>
              <w:rPr>
                <w:rFonts w:hint="eastAsia"/>
              </w:rPr>
              <w:t>干燥减重</w:t>
            </w:r>
          </w:p>
        </w:tc>
        <w:tc>
          <w:tcPr>
            <w:tcW w:w="1913" w:type="dxa"/>
            <w:vAlign w:val="center"/>
          </w:tcPr>
          <w:p w14:paraId="212A2324">
            <w:pPr>
              <w:pStyle w:val="2"/>
              <w:jc w:val="center"/>
            </w:pPr>
            <w:r>
              <w:rPr>
                <w:rFonts w:hint="eastAsia"/>
              </w:rPr>
              <w:t>≤1%</w:t>
            </w:r>
          </w:p>
        </w:tc>
        <w:tc>
          <w:tcPr>
            <w:tcW w:w="588" w:type="dxa"/>
            <w:vMerge w:val="continue"/>
            <w:vAlign w:val="center"/>
          </w:tcPr>
          <w:p w14:paraId="72AF1CDA">
            <w:pPr>
              <w:pStyle w:val="2"/>
              <w:jc w:val="center"/>
            </w:pPr>
          </w:p>
        </w:tc>
        <w:tc>
          <w:tcPr>
            <w:tcW w:w="1327" w:type="dxa"/>
            <w:vMerge w:val="continue"/>
            <w:vAlign w:val="center"/>
          </w:tcPr>
          <w:p w14:paraId="5B539BF0">
            <w:pPr>
              <w:pStyle w:val="2"/>
              <w:jc w:val="center"/>
            </w:pPr>
          </w:p>
        </w:tc>
        <w:tc>
          <w:tcPr>
            <w:tcW w:w="1228" w:type="dxa"/>
            <w:vMerge w:val="continue"/>
          </w:tcPr>
          <w:p w14:paraId="2A488E6E">
            <w:pPr>
              <w:pStyle w:val="2"/>
              <w:jc w:val="center"/>
            </w:pPr>
          </w:p>
        </w:tc>
        <w:tc>
          <w:tcPr>
            <w:tcW w:w="1210" w:type="dxa"/>
            <w:vMerge w:val="continue"/>
          </w:tcPr>
          <w:p w14:paraId="039C5678">
            <w:pPr>
              <w:pStyle w:val="2"/>
              <w:jc w:val="center"/>
            </w:pPr>
          </w:p>
        </w:tc>
        <w:tc>
          <w:tcPr>
            <w:tcW w:w="1672" w:type="dxa"/>
            <w:vMerge w:val="continue"/>
            <w:vAlign w:val="center"/>
          </w:tcPr>
          <w:p w14:paraId="3F0D6EC5">
            <w:pPr>
              <w:pStyle w:val="2"/>
              <w:jc w:val="center"/>
            </w:pPr>
          </w:p>
        </w:tc>
      </w:tr>
      <w:tr w14:paraId="06996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07CC070F">
            <w:pPr>
              <w:pStyle w:val="2"/>
              <w:jc w:val="center"/>
            </w:pPr>
          </w:p>
        </w:tc>
        <w:tc>
          <w:tcPr>
            <w:tcW w:w="1417" w:type="dxa"/>
            <w:vAlign w:val="center"/>
          </w:tcPr>
          <w:p w14:paraId="4AE03E17">
            <w:pPr>
              <w:pStyle w:val="2"/>
              <w:jc w:val="center"/>
            </w:pPr>
            <w:r>
              <w:rPr>
                <w:rFonts w:hint="eastAsia"/>
              </w:rPr>
              <w:t>酸不溶物</w:t>
            </w:r>
          </w:p>
        </w:tc>
        <w:tc>
          <w:tcPr>
            <w:tcW w:w="1913" w:type="dxa"/>
            <w:vAlign w:val="center"/>
          </w:tcPr>
          <w:p w14:paraId="1C33395C">
            <w:pPr>
              <w:pStyle w:val="2"/>
              <w:jc w:val="center"/>
            </w:pPr>
            <w:r>
              <w:rPr>
                <w:rFonts w:hint="eastAsia"/>
              </w:rPr>
              <w:t>≤</w:t>
            </w:r>
            <w:r>
              <w:t>1</w:t>
            </w:r>
            <w:r>
              <w:rPr>
                <w:rFonts w:hint="eastAsia"/>
              </w:rPr>
              <w:t>%</w:t>
            </w:r>
          </w:p>
        </w:tc>
        <w:tc>
          <w:tcPr>
            <w:tcW w:w="588" w:type="dxa"/>
            <w:vMerge w:val="continue"/>
            <w:vAlign w:val="center"/>
          </w:tcPr>
          <w:p w14:paraId="6F69B763">
            <w:pPr>
              <w:pStyle w:val="2"/>
              <w:jc w:val="center"/>
            </w:pPr>
          </w:p>
        </w:tc>
        <w:tc>
          <w:tcPr>
            <w:tcW w:w="1327" w:type="dxa"/>
            <w:vMerge w:val="continue"/>
            <w:vAlign w:val="center"/>
          </w:tcPr>
          <w:p w14:paraId="1A1718B0">
            <w:pPr>
              <w:pStyle w:val="2"/>
              <w:jc w:val="center"/>
            </w:pPr>
          </w:p>
        </w:tc>
        <w:tc>
          <w:tcPr>
            <w:tcW w:w="1228" w:type="dxa"/>
            <w:vMerge w:val="continue"/>
          </w:tcPr>
          <w:p w14:paraId="3273D687">
            <w:pPr>
              <w:pStyle w:val="2"/>
              <w:jc w:val="center"/>
            </w:pPr>
          </w:p>
        </w:tc>
        <w:tc>
          <w:tcPr>
            <w:tcW w:w="1210" w:type="dxa"/>
            <w:vMerge w:val="continue"/>
          </w:tcPr>
          <w:p w14:paraId="58E64EDC">
            <w:pPr>
              <w:pStyle w:val="2"/>
              <w:jc w:val="center"/>
            </w:pPr>
          </w:p>
        </w:tc>
        <w:tc>
          <w:tcPr>
            <w:tcW w:w="1672" w:type="dxa"/>
            <w:vMerge w:val="continue"/>
            <w:vAlign w:val="center"/>
          </w:tcPr>
          <w:p w14:paraId="741949DE">
            <w:pPr>
              <w:pStyle w:val="2"/>
              <w:jc w:val="center"/>
            </w:pPr>
          </w:p>
        </w:tc>
      </w:tr>
      <w:tr w14:paraId="7BCE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24F88C2C">
            <w:pPr>
              <w:pStyle w:val="2"/>
              <w:jc w:val="center"/>
            </w:pPr>
          </w:p>
        </w:tc>
        <w:tc>
          <w:tcPr>
            <w:tcW w:w="9355" w:type="dxa"/>
            <w:gridSpan w:val="7"/>
          </w:tcPr>
          <w:p w14:paraId="27BE554C">
            <w:pPr>
              <w:pStyle w:val="2"/>
              <w:rPr>
                <w:b/>
              </w:rPr>
            </w:pPr>
            <w:r>
              <w:rPr>
                <w:rFonts w:hint="eastAsia"/>
                <w:b/>
              </w:rPr>
              <w:t>温升≤5℃（200g熟石灰与200ml水混合测试温升）、酸不溶物：指标标准≤1%</w:t>
            </w:r>
            <w:r>
              <w:rPr>
                <w:b/>
              </w:rPr>
              <w:t>。</w:t>
            </w:r>
          </w:p>
        </w:tc>
      </w:tr>
    </w:tbl>
    <w:p w14:paraId="12BE1962">
      <w:pPr>
        <w:rPr>
          <w:szCs w:val="21"/>
        </w:rPr>
      </w:pPr>
    </w:p>
    <w:p w14:paraId="1EDC80E3">
      <w:pPr>
        <w:pStyle w:val="3"/>
        <w:spacing w:before="0" w:beforeAutospacing="0" w:after="0" w:afterAutospacing="0" w:line="360" w:lineRule="auto"/>
        <w:rPr>
          <w:rFonts w:cs="Times New Roman" w:asciiTheme="minorHAnsi" w:hAnsiTheme="minorHAnsi" w:eastAsiaTheme="minorEastAsia"/>
          <w:b/>
          <w:kern w:val="2"/>
          <w:sz w:val="21"/>
          <w:szCs w:val="21"/>
        </w:rPr>
      </w:pPr>
      <w:r>
        <w:rPr>
          <w:rFonts w:hint="eastAsia" w:cs="Times New Roman" w:asciiTheme="minorHAnsi" w:hAnsiTheme="minorHAnsi" w:eastAsiaTheme="minorEastAsia"/>
          <w:kern w:val="2"/>
          <w:sz w:val="21"/>
          <w:szCs w:val="21"/>
        </w:rPr>
        <w:t>乙方负责槽罐车运输和卸货、开具13%增值税专用发票。</w:t>
      </w:r>
      <w:r>
        <w:rPr>
          <w:rFonts w:hint="eastAsia" w:cs="Times New Roman" w:asciiTheme="minorHAnsi" w:hAnsiTheme="minorHAnsi" w:eastAsiaTheme="minorEastAsia"/>
          <w:kern w:val="2"/>
          <w:sz w:val="21"/>
          <w:szCs w:val="21"/>
          <w:lang w:val="en-US" w:eastAsia="zh-CN"/>
        </w:rPr>
        <w:t>本</w:t>
      </w:r>
      <w:r>
        <w:rPr>
          <w:rFonts w:hint="eastAsia" w:cs="Times New Roman" w:asciiTheme="minorHAnsi" w:hAnsiTheme="minorHAnsi" w:eastAsiaTheme="minorEastAsia"/>
          <w:kern w:val="2"/>
          <w:sz w:val="21"/>
          <w:szCs w:val="21"/>
        </w:rPr>
        <w:t>季度暂定数量</w:t>
      </w:r>
      <w:r>
        <w:rPr>
          <w:rFonts w:hint="eastAsia" w:cs="Times New Roman" w:asciiTheme="minorHAnsi" w:hAnsiTheme="minorHAnsi" w:eastAsiaTheme="minorEastAsia"/>
          <w:kern w:val="2"/>
          <w:sz w:val="21"/>
          <w:szCs w:val="21"/>
          <w:lang w:val="en-US" w:eastAsia="zh-CN"/>
        </w:rPr>
        <w:t>8</w:t>
      </w:r>
      <w:r>
        <w:rPr>
          <w:rFonts w:cs="Times New Roman" w:asciiTheme="minorHAnsi" w:hAnsiTheme="minorHAnsi" w:eastAsiaTheme="minorEastAsia"/>
          <w:kern w:val="2"/>
          <w:sz w:val="21"/>
          <w:szCs w:val="21"/>
        </w:rPr>
        <w:t>00</w:t>
      </w:r>
      <w:r>
        <w:rPr>
          <w:rFonts w:hint="eastAsia" w:cs="Times New Roman" w:asciiTheme="minorHAnsi" w:hAnsiTheme="minorHAnsi" w:eastAsiaTheme="minorEastAsia"/>
          <w:kern w:val="2"/>
          <w:sz w:val="21"/>
          <w:szCs w:val="21"/>
        </w:rPr>
        <w:t>吨，</w:t>
      </w:r>
      <w:r>
        <w:rPr>
          <w:rFonts w:hint="eastAsia" w:cs="Times New Roman" w:asciiTheme="minorHAnsi" w:hAnsiTheme="minorHAnsi" w:eastAsiaTheme="minorEastAsia"/>
          <w:b/>
          <w:kern w:val="2"/>
          <w:sz w:val="21"/>
          <w:szCs w:val="21"/>
        </w:rPr>
        <w:t>以上数量为暂定数量，具体数量以甲方实际运营所需来定，甲方会根据实际运行情况提前两天通知乙方送货并告知所送货的数量。</w:t>
      </w:r>
    </w:p>
    <w:p w14:paraId="28799B1F">
      <w:pPr>
        <w:jc w:val="left"/>
        <w:rPr>
          <w:rFonts w:ascii="宋体" w:hAnsi="宋体" w:cs="Times New Roman"/>
          <w:szCs w:val="21"/>
        </w:rPr>
      </w:pPr>
      <w:r>
        <w:rPr>
          <w:rFonts w:hint="eastAsia" w:cs="Times New Roman"/>
          <w:b/>
          <w:szCs w:val="21"/>
        </w:rPr>
        <w:t>付款方式：</w:t>
      </w:r>
      <w:r>
        <w:rPr>
          <w:rFonts w:hint="eastAsia" w:cs="Times New Roman"/>
          <w:szCs w:val="21"/>
        </w:rPr>
        <w:t>每月21号统计上月21-本月20日实际交货的数量（经甲方验收合格），通知乙方开票、实际付款时间为甲方收到乙方发票后</w:t>
      </w:r>
      <w:r>
        <w:rPr>
          <w:rFonts w:hint="eastAsia" w:cs="Times New Roman"/>
          <w:szCs w:val="21"/>
          <w:lang w:val="en-US" w:eastAsia="zh-CN"/>
        </w:rPr>
        <w:t>6</w:t>
      </w:r>
      <w:bookmarkStart w:id="0" w:name="_GoBack"/>
      <w:bookmarkEnd w:id="0"/>
      <w:r>
        <w:rPr>
          <w:rFonts w:hint="eastAsia" w:cs="Times New Roman"/>
          <w:szCs w:val="21"/>
        </w:rPr>
        <w:t>0天左右付款。</w:t>
      </w:r>
    </w:p>
    <w:p w14:paraId="6BD911D9">
      <w:pPr>
        <w:rPr>
          <w:rFonts w:ascii="仿宋_GB2312"/>
          <w:szCs w:val="21"/>
          <w:u w:val="single"/>
        </w:rPr>
      </w:pPr>
      <w:r>
        <w:rPr>
          <w:rFonts w:hint="eastAsia"/>
          <w:szCs w:val="21"/>
        </w:rPr>
        <w:t>交货地点：</w:t>
      </w:r>
      <w:r>
        <w:rPr>
          <w:rFonts w:hint="eastAsia" w:ascii="宋体" w:hAnsi="宋体"/>
          <w:szCs w:val="21"/>
        </w:rPr>
        <w:t>吴川市大山江街道山基华社区吴川市环保热力发电厂综合楼一楼</w:t>
      </w:r>
    </w:p>
    <w:p w14:paraId="1694F361">
      <w:pPr>
        <w:rPr>
          <w:szCs w:val="21"/>
        </w:rPr>
      </w:pPr>
      <w:r>
        <w:rPr>
          <w:rFonts w:hint="eastAsia"/>
          <w:szCs w:val="21"/>
        </w:rPr>
        <w:t>报价截止日期：</w:t>
      </w:r>
    </w:p>
    <w:p w14:paraId="47DB23DF">
      <w:pPr>
        <w:rPr>
          <w:b/>
          <w:szCs w:val="21"/>
        </w:rPr>
      </w:pPr>
      <w:r>
        <w:rPr>
          <w:rFonts w:hint="eastAsia"/>
          <w:b/>
          <w:szCs w:val="21"/>
        </w:rPr>
        <w:t>供应商资信：</w:t>
      </w:r>
    </w:p>
    <w:p w14:paraId="50B205E9">
      <w:pPr>
        <w:rPr>
          <w:szCs w:val="21"/>
        </w:rPr>
      </w:pPr>
      <w:r>
        <w:rPr>
          <w:rFonts w:hint="eastAsia"/>
          <w:szCs w:val="21"/>
        </w:rPr>
        <w:t>报价厂商（加盖章印）：</w:t>
      </w:r>
    </w:p>
    <w:p w14:paraId="197AA67F">
      <w:pPr>
        <w:widowControl/>
        <w:rPr>
          <w:rFonts w:ascii="宋体" w:hAnsi="宋体" w:eastAsia="宋体" w:cs="宋体"/>
          <w:kern w:val="0"/>
          <w:szCs w:val="21"/>
        </w:rPr>
      </w:pPr>
      <w:r>
        <w:rPr>
          <w:rFonts w:hint="eastAsia" w:ascii="宋体" w:hAnsi="宋体" w:eastAsia="宋体" w:cs="宋体"/>
          <w:kern w:val="0"/>
          <w:szCs w:val="21"/>
        </w:rPr>
        <w:t>联系电话：                         传真：</w:t>
      </w:r>
    </w:p>
    <w:p w14:paraId="4D58CA0F">
      <w:pPr>
        <w:widowControl/>
        <w:rPr>
          <w:rFonts w:ascii="宋体" w:hAnsi="宋体" w:eastAsia="宋体" w:cs="宋体"/>
          <w:kern w:val="0"/>
          <w:szCs w:val="21"/>
        </w:rPr>
      </w:pPr>
      <w:r>
        <w:rPr>
          <w:rFonts w:hint="eastAsia" w:ascii="宋体" w:hAnsi="宋体" w:eastAsia="宋体" w:cs="宋体"/>
          <w:kern w:val="0"/>
          <w:szCs w:val="21"/>
        </w:rPr>
        <w:t>报价联系人：</w:t>
      </w:r>
    </w:p>
    <w:p w14:paraId="782A1054">
      <w:pPr>
        <w:widowControl/>
        <w:rPr>
          <w:rFonts w:ascii="宋体" w:hAnsi="宋体" w:eastAsia="宋体" w:cs="宋体"/>
          <w:kern w:val="0"/>
          <w:szCs w:val="21"/>
        </w:rPr>
      </w:pPr>
      <w:r>
        <w:rPr>
          <w:rFonts w:hint="eastAsia" w:ascii="宋体" w:hAnsi="宋体" w:eastAsia="宋体" w:cs="宋体"/>
          <w:kern w:val="0"/>
          <w:szCs w:val="21"/>
        </w:rPr>
        <w:t xml:space="preserve">   </w:t>
      </w:r>
    </w:p>
    <w:p w14:paraId="606B13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YzBmM2YzYzExYTJlZWQxOTBlNjI2ZjQwMTE3ZTMifQ=="/>
  </w:docVars>
  <w:rsids>
    <w:rsidRoot w:val="00A534F9"/>
    <w:rsid w:val="0024231C"/>
    <w:rsid w:val="002E6AFA"/>
    <w:rsid w:val="0032166F"/>
    <w:rsid w:val="006A52FF"/>
    <w:rsid w:val="008B00D9"/>
    <w:rsid w:val="00906072"/>
    <w:rsid w:val="00947101"/>
    <w:rsid w:val="00A534F9"/>
    <w:rsid w:val="00AE1A02"/>
    <w:rsid w:val="00BF75F0"/>
    <w:rsid w:val="00D0037D"/>
    <w:rsid w:val="00D16370"/>
    <w:rsid w:val="00DA0ABD"/>
    <w:rsid w:val="00F74A3F"/>
    <w:rsid w:val="0B4B60CB"/>
    <w:rsid w:val="1A7C578F"/>
    <w:rsid w:val="1CB303A9"/>
    <w:rsid w:val="26B903BB"/>
    <w:rsid w:val="2C5D5807"/>
    <w:rsid w:val="317F3B29"/>
    <w:rsid w:val="3C6225A6"/>
    <w:rsid w:val="3C7F0E81"/>
    <w:rsid w:val="4CF03E01"/>
    <w:rsid w:val="502D4C8C"/>
    <w:rsid w:val="541A5C08"/>
    <w:rsid w:val="60E07891"/>
    <w:rsid w:val="662841B4"/>
    <w:rsid w:val="686F60CA"/>
    <w:rsid w:val="6B1747F7"/>
    <w:rsid w:val="75F97597"/>
    <w:rsid w:val="763C15B6"/>
    <w:rsid w:val="79382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 w:type="character" w:customStyle="1" w:styleId="7">
    <w:name w:val="正文文本 Char"/>
    <w:basedOn w:val="5"/>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396</Words>
  <Characters>514</Characters>
  <Lines>4</Lines>
  <Paragraphs>1</Paragraphs>
  <TotalTime>29</TotalTime>
  <ScaleCrop>false</ScaleCrop>
  <LinksUpToDate>false</LinksUpToDate>
  <CharactersWithSpaces>556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lk</dc:creator>
  <cp:lastModifiedBy>梅西</cp:lastModifiedBy>
  <dcterms:modified xsi:type="dcterms:W3CDTF">2024-08-30T07:23:14Z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348C0DFD7C5741C4A7D37EB879C55B66_12</vt:lpwstr>
  </property>
</Properties>
</file>